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398B3" w14:textId="22C5AB20" w:rsidR="004B4C79" w:rsidRPr="0048565C" w:rsidRDefault="001F5A10" w:rsidP="00ED1312">
      <w:pPr>
        <w:tabs>
          <w:tab w:val="left" w:pos="3686"/>
        </w:tabs>
        <w:spacing w:after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6</w:t>
      </w:r>
      <w:r w:rsidR="00167488" w:rsidRPr="009A7C90">
        <w:rPr>
          <w:rFonts w:ascii="Arial" w:hAnsi="Arial" w:cs="Arial"/>
          <w:vertAlign w:val="superscript"/>
          <w:lang w:val="en-GB"/>
        </w:rPr>
        <w:t>th</w:t>
      </w:r>
      <w:r w:rsidR="00167488">
        <w:rPr>
          <w:rFonts w:ascii="Arial" w:hAnsi="Arial" w:cs="Arial"/>
          <w:lang w:val="en-GB"/>
        </w:rPr>
        <w:t xml:space="preserve"> </w:t>
      </w:r>
      <w:r w:rsidR="000E297F">
        <w:rPr>
          <w:rFonts w:ascii="Arial" w:hAnsi="Arial" w:cs="Arial"/>
          <w:lang w:val="en-GB"/>
        </w:rPr>
        <w:t>DRAFT</w:t>
      </w:r>
      <w:r w:rsidR="002B13C2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End of July</w:t>
      </w:r>
      <w:bookmarkStart w:id="0" w:name="_GoBack"/>
      <w:bookmarkEnd w:id="0"/>
    </w:p>
    <w:p w14:paraId="1CE5C1F4" w14:textId="7C438FB9" w:rsidR="004B4C79" w:rsidRPr="0048565C" w:rsidRDefault="004B4C79" w:rsidP="004B4C79">
      <w:pPr>
        <w:spacing w:after="0"/>
        <w:jc w:val="center"/>
        <w:rPr>
          <w:rFonts w:ascii="Arial" w:hAnsi="Arial" w:cs="Arial"/>
          <w:lang w:val="en-GB"/>
        </w:rPr>
      </w:pPr>
      <w:r w:rsidRPr="0048565C">
        <w:rPr>
          <w:rFonts w:ascii="Arial" w:hAnsi="Arial" w:cs="Arial"/>
          <w:b/>
          <w:lang w:val="en-GB"/>
        </w:rPr>
        <w:t>Annex 2</w:t>
      </w:r>
      <w:r w:rsidR="005F381B" w:rsidRPr="0048565C">
        <w:rPr>
          <w:rFonts w:ascii="Arial" w:hAnsi="Arial" w:cs="Arial"/>
          <w:b/>
          <w:lang w:val="en-GB"/>
        </w:rPr>
        <w:t xml:space="preserve"> to the Statute</w:t>
      </w:r>
      <w:r w:rsidR="009F31EE">
        <w:rPr>
          <w:rFonts w:ascii="Arial" w:hAnsi="Arial" w:cs="Arial"/>
          <w:b/>
          <w:lang w:val="en-GB"/>
        </w:rPr>
        <w:t>s</w:t>
      </w:r>
      <w:r w:rsidR="005F381B" w:rsidRPr="0048565C">
        <w:rPr>
          <w:rFonts w:ascii="Arial" w:hAnsi="Arial" w:cs="Arial"/>
          <w:b/>
          <w:lang w:val="en-GB"/>
        </w:rPr>
        <w:t xml:space="preserve"> of ELI-ERIC</w:t>
      </w:r>
    </w:p>
    <w:p w14:paraId="41D33E1D" w14:textId="2C6E3385" w:rsidR="00F60E6E" w:rsidRDefault="004B4C79" w:rsidP="00F60E6E">
      <w:pPr>
        <w:tabs>
          <w:tab w:val="left" w:pos="3686"/>
        </w:tabs>
        <w:spacing w:after="0"/>
        <w:jc w:val="center"/>
        <w:rPr>
          <w:rFonts w:ascii="Arial" w:hAnsi="Arial" w:cs="Arial"/>
          <w:b/>
          <w:lang w:val="en-GB"/>
        </w:rPr>
      </w:pPr>
      <w:r w:rsidRPr="0048565C">
        <w:rPr>
          <w:rFonts w:ascii="Arial" w:hAnsi="Arial" w:cs="Arial"/>
          <w:b/>
          <w:lang w:val="en-GB"/>
        </w:rPr>
        <w:t>Annual financial contribution</w:t>
      </w:r>
      <w:r w:rsidR="00F60E6E">
        <w:rPr>
          <w:rFonts w:ascii="Arial" w:hAnsi="Arial" w:cs="Arial"/>
          <w:b/>
          <w:lang w:val="en-GB"/>
        </w:rPr>
        <w:t>s</w:t>
      </w:r>
      <w:r w:rsidRPr="0048565C">
        <w:rPr>
          <w:rFonts w:ascii="Arial" w:hAnsi="Arial" w:cs="Arial"/>
          <w:b/>
          <w:lang w:val="en-GB"/>
        </w:rPr>
        <w:t xml:space="preserve"> by Members</w:t>
      </w:r>
      <w:r w:rsidR="005F381B" w:rsidRPr="0048565C">
        <w:rPr>
          <w:rFonts w:ascii="Arial" w:hAnsi="Arial" w:cs="Arial"/>
          <w:b/>
          <w:lang w:val="en-GB"/>
        </w:rPr>
        <w:t xml:space="preserve"> and</w:t>
      </w:r>
      <w:r w:rsidRPr="0048565C">
        <w:rPr>
          <w:rFonts w:ascii="Arial" w:hAnsi="Arial" w:cs="Arial"/>
          <w:b/>
          <w:lang w:val="en-GB"/>
        </w:rPr>
        <w:t xml:space="preserve"> </w:t>
      </w:r>
      <w:r w:rsidR="005F381B" w:rsidRPr="0048565C">
        <w:rPr>
          <w:rFonts w:ascii="Arial" w:hAnsi="Arial" w:cs="Arial"/>
          <w:b/>
          <w:lang w:val="en-GB"/>
        </w:rPr>
        <w:t>Observers</w:t>
      </w:r>
      <w:r w:rsidR="00F60E6E">
        <w:rPr>
          <w:rFonts w:ascii="Arial" w:hAnsi="Arial" w:cs="Arial"/>
          <w:b/>
          <w:lang w:val="en-GB"/>
        </w:rPr>
        <w:t xml:space="preserve"> </w:t>
      </w:r>
      <w:r w:rsidR="00167488">
        <w:rPr>
          <w:rFonts w:ascii="Arial" w:hAnsi="Arial" w:cs="Arial"/>
          <w:b/>
          <w:lang w:val="en-GB"/>
        </w:rPr>
        <w:t>including</w:t>
      </w:r>
      <w:r w:rsidR="005F381B" w:rsidRPr="0048565C">
        <w:rPr>
          <w:rFonts w:ascii="Arial" w:hAnsi="Arial" w:cs="Arial"/>
          <w:b/>
          <w:lang w:val="en-GB"/>
        </w:rPr>
        <w:t xml:space="preserve"> Strategic Partners</w:t>
      </w:r>
      <w:r w:rsidR="00F60E6E">
        <w:rPr>
          <w:rFonts w:ascii="Arial" w:hAnsi="Arial" w:cs="Arial"/>
          <w:b/>
          <w:lang w:val="en-GB"/>
        </w:rPr>
        <w:t xml:space="preserve"> or Third Parties</w:t>
      </w:r>
    </w:p>
    <w:p w14:paraId="059575A8" w14:textId="77777777" w:rsidR="00A90DD5" w:rsidRDefault="00A90DD5" w:rsidP="00F60E6E">
      <w:pPr>
        <w:tabs>
          <w:tab w:val="left" w:pos="3686"/>
        </w:tabs>
        <w:spacing w:after="0"/>
        <w:jc w:val="center"/>
        <w:rPr>
          <w:rFonts w:ascii="Arial" w:hAnsi="Arial" w:cs="Arial"/>
          <w:b/>
          <w:lang w:val="en-GB"/>
        </w:rPr>
      </w:pPr>
    </w:p>
    <w:p w14:paraId="02158525" w14:textId="7CA3EA39" w:rsidR="00A90DD5" w:rsidRDefault="004B4C79" w:rsidP="00A90DD5">
      <w:pPr>
        <w:pStyle w:val="Nadpis1"/>
      </w:pPr>
      <w:r w:rsidRPr="00A90DD5">
        <w:t xml:space="preserve">This Annex lays down the mechanism </w:t>
      </w:r>
      <w:r w:rsidR="00167488">
        <w:t>for the</w:t>
      </w:r>
      <w:r w:rsidRPr="00A90DD5">
        <w:t xml:space="preserve"> calculation of the contributions by Members and Observers</w:t>
      </w:r>
      <w:r w:rsidR="00F60E6E" w:rsidRPr="00A90DD5">
        <w:t xml:space="preserve"> (and other contributors if applicable</w:t>
      </w:r>
      <w:r w:rsidR="0020375D" w:rsidRPr="00A90DD5">
        <w:t>)</w:t>
      </w:r>
      <w:r w:rsidR="003059B9" w:rsidRPr="00A90DD5">
        <w:t xml:space="preserve"> </w:t>
      </w:r>
      <w:r w:rsidR="00463D9E" w:rsidRPr="00A90DD5">
        <w:t xml:space="preserve">during and </w:t>
      </w:r>
      <w:r w:rsidR="003059B9" w:rsidRPr="00A90DD5">
        <w:t>after the start-up period of 2018-2019</w:t>
      </w:r>
      <w:r w:rsidRPr="00A90DD5">
        <w:t>.</w:t>
      </w:r>
    </w:p>
    <w:p w14:paraId="6A04A81F" w14:textId="77777777" w:rsidR="00A90DD5" w:rsidRPr="00A90DD5" w:rsidRDefault="00A90DD5" w:rsidP="00A90DD5">
      <w:pPr>
        <w:pStyle w:val="Nadpis1"/>
        <w:numPr>
          <w:ilvl w:val="0"/>
          <w:numId w:val="0"/>
        </w:numPr>
        <w:ind w:left="357"/>
      </w:pPr>
    </w:p>
    <w:p w14:paraId="6081F6A4" w14:textId="0DDE5908" w:rsidR="00A90DD5" w:rsidRDefault="004B4C79" w:rsidP="00A90DD5">
      <w:pPr>
        <w:pStyle w:val="Nadpis1"/>
      </w:pPr>
      <w:r w:rsidRPr="00A90DD5">
        <w:t xml:space="preserve">The </w:t>
      </w:r>
      <w:r w:rsidR="00463D9E" w:rsidRPr="00A90DD5">
        <w:t>operation</w:t>
      </w:r>
      <w:r w:rsidR="00167488">
        <w:t>al</w:t>
      </w:r>
      <w:r w:rsidR="00463D9E" w:rsidRPr="00A90DD5">
        <w:t xml:space="preserve"> costs </w:t>
      </w:r>
      <w:r w:rsidR="00167488">
        <w:t xml:space="preserve">of ELI-ERIC shall be defined by the GA, based on the assessment and </w:t>
      </w:r>
      <w:proofErr w:type="spellStart"/>
      <w:r w:rsidR="00167488">
        <w:t>reccomendations</w:t>
      </w:r>
      <w:proofErr w:type="spellEnd"/>
      <w:r w:rsidR="00167488">
        <w:t xml:space="preserve"> of the AFC. These costs shall be </w:t>
      </w:r>
      <w:r w:rsidR="00463D9E" w:rsidRPr="00A90DD5">
        <w:t xml:space="preserve">related to the access </w:t>
      </w:r>
      <w:r w:rsidR="00167488">
        <w:t xml:space="preserve">effectively </w:t>
      </w:r>
      <w:r w:rsidR="00B03002">
        <w:t>offered to</w:t>
      </w:r>
      <w:r w:rsidR="00463D9E" w:rsidRPr="00A90DD5">
        <w:t xml:space="preserve"> users </w:t>
      </w:r>
      <w:r w:rsidR="00167488">
        <w:t>of the facilities</w:t>
      </w:r>
      <w:r w:rsidR="00DE31DE">
        <w:t xml:space="preserve"> each </w:t>
      </w:r>
      <w:r w:rsidR="00DE31DE" w:rsidRPr="00C93817">
        <w:t>year</w:t>
      </w:r>
      <w:r w:rsidR="006B59DC" w:rsidRPr="00C93817">
        <w:t xml:space="preserve"> and </w:t>
      </w:r>
      <w:r w:rsidR="00086F87" w:rsidRPr="00C93817">
        <w:t>their effective costs.</w:t>
      </w:r>
      <w:r w:rsidR="00167488" w:rsidRPr="00C93817">
        <w:t xml:space="preserve"> The</w:t>
      </w:r>
      <w:r w:rsidR="00B03002" w:rsidRPr="00C93817">
        <w:t xml:space="preserve"> </w:t>
      </w:r>
      <w:r w:rsidRPr="00C93817">
        <w:t xml:space="preserve">overall </w:t>
      </w:r>
      <w:r w:rsidR="00167488" w:rsidRPr="00C93817">
        <w:t xml:space="preserve">level </w:t>
      </w:r>
      <w:r w:rsidRPr="00C93817">
        <w:t>of contributions</w:t>
      </w:r>
      <w:r w:rsidR="00167488" w:rsidRPr="00C93817">
        <w:t xml:space="preserve"> to be paid</w:t>
      </w:r>
      <w:r w:rsidRPr="00C93817">
        <w:t xml:space="preserve"> by Members and</w:t>
      </w:r>
      <w:r w:rsidRPr="00A90DD5">
        <w:t xml:space="preserve"> Observers shall be defined</w:t>
      </w:r>
      <w:r w:rsidR="004373BF" w:rsidRPr="00A90DD5">
        <w:t xml:space="preserve"> by the GA</w:t>
      </w:r>
      <w:r w:rsidRPr="00A90DD5">
        <w:t xml:space="preserve"> in the</w:t>
      </w:r>
      <w:r w:rsidR="00693851" w:rsidRPr="00A90DD5">
        <w:t xml:space="preserve"> annual </w:t>
      </w:r>
      <w:r w:rsidR="00A24F2E" w:rsidRPr="00A90DD5">
        <w:t>activity</w:t>
      </w:r>
      <w:r w:rsidR="00693851" w:rsidRPr="00A90DD5">
        <w:t xml:space="preserve"> </w:t>
      </w:r>
      <w:r w:rsidR="000B73BE" w:rsidRPr="00A90DD5">
        <w:t xml:space="preserve">plan </w:t>
      </w:r>
      <w:r w:rsidR="00693851" w:rsidRPr="00A90DD5">
        <w:t>and budget of the ERIC</w:t>
      </w:r>
      <w:r w:rsidR="004373BF" w:rsidRPr="00A90DD5">
        <w:t xml:space="preserve">, </w:t>
      </w:r>
      <w:r w:rsidR="00C7444D">
        <w:t>supported by an agreed five-year plan.</w:t>
      </w:r>
      <w:r w:rsidR="00DE31DE">
        <w:t xml:space="preserve"> The first five year plan will detail the planned ra</w:t>
      </w:r>
      <w:r w:rsidR="00FC40C5">
        <w:t>mp-up in the</w:t>
      </w:r>
      <w:r w:rsidR="00DE31DE">
        <w:t xml:space="preserve"> experimental resources available to the international </w:t>
      </w:r>
      <w:proofErr w:type="gramStart"/>
      <w:r w:rsidR="00DE31DE">
        <w:t>users</w:t>
      </w:r>
      <w:proofErr w:type="gramEnd"/>
      <w:r w:rsidR="00DE31DE">
        <w:t xml:space="preserve">, and define the </w:t>
      </w:r>
      <w:r w:rsidR="005D11B4">
        <w:t xml:space="preserve">timing and assessment of the </w:t>
      </w:r>
      <w:r w:rsidR="00DE31DE">
        <w:t xml:space="preserve">expected </w:t>
      </w:r>
      <w:r w:rsidR="005D11B4">
        <w:t>steady state operation</w:t>
      </w:r>
      <w:r w:rsidR="00DE31DE">
        <w:t>.</w:t>
      </w:r>
    </w:p>
    <w:p w14:paraId="1CD39424" w14:textId="49D180D9" w:rsidR="00AD755F" w:rsidRPr="004E0499" w:rsidRDefault="00AD755F" w:rsidP="00C7444D">
      <w:pPr>
        <w:rPr>
          <w:lang w:val="en-GB"/>
        </w:rPr>
      </w:pPr>
    </w:p>
    <w:p w14:paraId="18624A5E" w14:textId="2041021E" w:rsidR="00AD755F" w:rsidRPr="0048565C" w:rsidRDefault="00DE31DE" w:rsidP="00AD755F">
      <w:pPr>
        <w:pStyle w:val="Nadpis1"/>
      </w:pPr>
      <w:r>
        <w:rPr>
          <w:lang w:val="es-ES"/>
        </w:rPr>
        <w:t>The period of m</w:t>
      </w:r>
      <w:r w:rsidR="00C7444D">
        <w:rPr>
          <w:lang w:val="es-ES"/>
        </w:rPr>
        <w:t xml:space="preserve">embership </w:t>
      </w:r>
      <w:r>
        <w:rPr>
          <w:lang w:val="es-ES"/>
        </w:rPr>
        <w:t xml:space="preserve">for Members </w:t>
      </w:r>
      <w:r w:rsidR="004E0499">
        <w:rPr>
          <w:lang w:val="es-ES"/>
        </w:rPr>
        <w:t>and/or Observers</w:t>
      </w:r>
      <w:r w:rsidR="00C7444D">
        <w:rPr>
          <w:lang w:val="es-ES"/>
        </w:rPr>
        <w:t xml:space="preserve"> is defined as indicated in the Statute</w:t>
      </w:r>
      <w:r w:rsidR="009F31EE">
        <w:rPr>
          <w:lang w:val="es-ES"/>
        </w:rPr>
        <w:t>s</w:t>
      </w:r>
      <w:r w:rsidR="00FC40C5">
        <w:rPr>
          <w:lang w:val="es-ES"/>
        </w:rPr>
        <w:t>. C</w:t>
      </w:r>
      <w:proofErr w:type="spellStart"/>
      <w:r w:rsidR="00AD755F" w:rsidRPr="0048565C">
        <w:t>ontribution</w:t>
      </w:r>
      <w:r w:rsidR="00AD755F">
        <w:t>s</w:t>
      </w:r>
      <w:proofErr w:type="spellEnd"/>
      <w:r w:rsidR="00AD755F" w:rsidRPr="0048565C">
        <w:t xml:space="preserve"> </w:t>
      </w:r>
      <w:r w:rsidR="00C7444D">
        <w:t>and commitments from</w:t>
      </w:r>
      <w:r w:rsidR="00AD755F" w:rsidRPr="0048565C">
        <w:t xml:space="preserve"> </w:t>
      </w:r>
      <w:r w:rsidR="00A66B32">
        <w:t>I</w:t>
      </w:r>
      <w:r w:rsidR="00AD755F" w:rsidRPr="0048565C">
        <w:t xml:space="preserve">ntergovernmental and </w:t>
      </w:r>
      <w:r w:rsidR="00A66B32">
        <w:t>I</w:t>
      </w:r>
      <w:r w:rsidR="00AD755F" w:rsidRPr="0048565C">
        <w:t xml:space="preserve">nternational </w:t>
      </w:r>
      <w:r w:rsidR="00A66B32">
        <w:t>O</w:t>
      </w:r>
      <w:r w:rsidR="00AD755F" w:rsidRPr="0048565C">
        <w:t>rganisations</w:t>
      </w:r>
      <w:r w:rsidR="00AD755F">
        <w:t xml:space="preserve"> </w:t>
      </w:r>
      <w:r w:rsidR="004A7949">
        <w:t xml:space="preserve">and </w:t>
      </w:r>
      <w:r w:rsidR="004A7949" w:rsidRPr="00A90DD5">
        <w:t xml:space="preserve">Strategic Partners </w:t>
      </w:r>
      <w:r w:rsidR="00AD755F" w:rsidRPr="0048565C">
        <w:t>shall be decided by the GA on a case-by-case basis.</w:t>
      </w:r>
    </w:p>
    <w:p w14:paraId="5833AD35" w14:textId="77777777" w:rsidR="00A90DD5" w:rsidRPr="00A90DD5" w:rsidRDefault="00A90DD5" w:rsidP="003775C3">
      <w:pPr>
        <w:pStyle w:val="Nadpis1"/>
        <w:numPr>
          <w:ilvl w:val="0"/>
          <w:numId w:val="0"/>
        </w:numPr>
        <w:ind w:left="357"/>
      </w:pPr>
    </w:p>
    <w:p w14:paraId="52F56520" w14:textId="7B8124B5" w:rsidR="004A7949" w:rsidRDefault="001A7399" w:rsidP="00A90DD5">
      <w:pPr>
        <w:pStyle w:val="Nadpis1"/>
      </w:pPr>
      <w:r>
        <w:t>The</w:t>
      </w:r>
      <w:r w:rsidR="00D17627">
        <w:t xml:space="preserve"> operational costs of ELI-ERIC shall be allocated according to paragraph (5) for the start-up period of 2018-2019 and/or paragraph (6) for the steady state operation</w:t>
      </w:r>
      <w:r w:rsidR="005D11B4">
        <w:t>. Any contribution received under paragraph (3) shall be deducted from the overall operation costs prior to the allocations being made.</w:t>
      </w:r>
      <w:r>
        <w:t xml:space="preserve"> </w:t>
      </w:r>
    </w:p>
    <w:p w14:paraId="5188BBB2" w14:textId="77777777" w:rsidR="00A90DD5" w:rsidRPr="00A90DD5" w:rsidRDefault="00A90DD5" w:rsidP="003775C3">
      <w:pPr>
        <w:pStyle w:val="Nadpis1"/>
        <w:numPr>
          <w:ilvl w:val="0"/>
          <w:numId w:val="0"/>
        </w:numPr>
        <w:ind w:left="357"/>
      </w:pPr>
    </w:p>
    <w:p w14:paraId="1E408F1B" w14:textId="78FAE633" w:rsidR="00311D27" w:rsidRPr="00A90DD5" w:rsidRDefault="005D11B4" w:rsidP="00A90DD5">
      <w:pPr>
        <w:pStyle w:val="Nadpis1"/>
      </w:pPr>
      <w:r>
        <w:t>Allocation of costs during the s</w:t>
      </w:r>
      <w:r w:rsidR="00311D27" w:rsidRPr="00A90DD5">
        <w:t>tart-up</w:t>
      </w:r>
      <w:r w:rsidR="00B03002">
        <w:t xml:space="preserve"> </w:t>
      </w:r>
      <w:r w:rsidR="00311D27" w:rsidRPr="00A90DD5">
        <w:t>period 2018-2019:</w:t>
      </w:r>
    </w:p>
    <w:p w14:paraId="692F85D7" w14:textId="78FB064C" w:rsidR="00311D27" w:rsidRPr="00A90DD5" w:rsidRDefault="005D11B4" w:rsidP="00B03002">
      <w:pPr>
        <w:pStyle w:val="Nadpis2"/>
      </w:pPr>
      <w:r>
        <w:t>During the start-up period of 2018-2019 the</w:t>
      </w:r>
      <w:r w:rsidR="00311D27" w:rsidRPr="00A90DD5">
        <w:t xml:space="preserve"> Host Members </w:t>
      </w:r>
      <w:r>
        <w:t xml:space="preserve">shall </w:t>
      </w:r>
      <w:r w:rsidR="00311D27" w:rsidRPr="00A90DD5">
        <w:t>contribute 50% of the overall operation</w:t>
      </w:r>
      <w:r>
        <w:t>al</w:t>
      </w:r>
      <w:r w:rsidR="00311D27" w:rsidRPr="00A90DD5">
        <w:t xml:space="preserve"> costs</w:t>
      </w:r>
      <w:r>
        <w:t>.</w:t>
      </w:r>
      <w:r w:rsidR="00B03002">
        <w:t xml:space="preserve"> </w:t>
      </w:r>
      <w:r>
        <w:t xml:space="preserve">In addition the Host </w:t>
      </w:r>
      <w:r w:rsidRPr="009A7C90">
        <w:t xml:space="preserve">Members </w:t>
      </w:r>
      <w:r w:rsidR="009A7C90">
        <w:t>are considering</w:t>
      </w:r>
      <w:r w:rsidR="00B03002" w:rsidRPr="004E0499">
        <w:t xml:space="preserve"> </w:t>
      </w:r>
      <w:r w:rsidR="004E0499">
        <w:t xml:space="preserve">to </w:t>
      </w:r>
      <w:r w:rsidRPr="004E0499">
        <w:t>cover any deficit in operational costs during this period</w:t>
      </w:r>
      <w:r w:rsidR="00311D27" w:rsidRPr="009A7C90">
        <w:t xml:space="preserve"> eventually not covered</w:t>
      </w:r>
      <w:r w:rsidR="00311D27" w:rsidRPr="00A90DD5">
        <w:t xml:space="preserve"> </w:t>
      </w:r>
      <w:r w:rsidR="009F4241" w:rsidRPr="00A90DD5">
        <w:t>according to (</w:t>
      </w:r>
      <w:r w:rsidR="004A7949">
        <w:t>5</w:t>
      </w:r>
      <w:r w:rsidR="00B1667F">
        <w:t>b to 5d inclusive</w:t>
      </w:r>
      <w:r w:rsidR="009F4241" w:rsidRPr="00A90DD5">
        <w:t>)</w:t>
      </w:r>
      <w:r w:rsidR="00A53288">
        <w:t>, this extra financial support</w:t>
      </w:r>
      <w:r w:rsidR="00B03002">
        <w:t xml:space="preserve"> is to be considered as an advance payment </w:t>
      </w:r>
      <w:r w:rsidR="004F29E3">
        <w:t>to be gradually deducted from f</w:t>
      </w:r>
      <w:r w:rsidR="00B03002">
        <w:t>uture due</w:t>
      </w:r>
      <w:r w:rsidR="004F29E3">
        <w:t xml:space="preserve"> contributions</w:t>
      </w:r>
      <w:r w:rsidR="007D5D7F">
        <w:t xml:space="preserve"> of the Host</w:t>
      </w:r>
      <w:r w:rsidR="008C21C0">
        <w:t xml:space="preserve"> </w:t>
      </w:r>
      <w:r w:rsidR="007D5D7F">
        <w:t>Members</w:t>
      </w:r>
      <w:r w:rsidR="004F29E3">
        <w:t>,</w:t>
      </w:r>
      <w:r w:rsidR="000B4575">
        <w:t xml:space="preserve"> after the </w:t>
      </w:r>
      <w:r w:rsidR="00B1667F">
        <w:t xml:space="preserve">steady state </w:t>
      </w:r>
      <w:r w:rsidR="00B1667F">
        <w:lastRenderedPageBreak/>
        <w:t xml:space="preserve">operation and a financially </w:t>
      </w:r>
      <w:r w:rsidR="000B4575">
        <w:t>sustainab</w:t>
      </w:r>
      <w:r w:rsidR="00B1667F">
        <w:t>le</w:t>
      </w:r>
      <w:r w:rsidR="000B4575">
        <w:t xml:space="preserve"> level </w:t>
      </w:r>
      <w:r w:rsidR="00B1667F">
        <w:t>are</w:t>
      </w:r>
      <w:r w:rsidR="000B4575">
        <w:t xml:space="preserve"> reached</w:t>
      </w:r>
      <w:r w:rsidR="009A7C90" w:rsidRPr="009A7C90">
        <w:t xml:space="preserve"> </w:t>
      </w:r>
      <w:r w:rsidR="009A7C90">
        <w:t>according to a plan approved by the GA</w:t>
      </w:r>
      <w:r w:rsidR="00311D27" w:rsidRPr="00A90DD5">
        <w:t>.</w:t>
      </w:r>
    </w:p>
    <w:p w14:paraId="0CC56112" w14:textId="002E2A26" w:rsidR="005D1A7E" w:rsidRDefault="00311D27" w:rsidP="00A90DD5">
      <w:pPr>
        <w:pStyle w:val="Nadpis2"/>
      </w:pPr>
      <w:r w:rsidRPr="0048565C">
        <w:t>The</w:t>
      </w:r>
      <w:r w:rsidR="00A53288">
        <w:t xml:space="preserve"> </w:t>
      </w:r>
      <w:r w:rsidRPr="0048565C">
        <w:t>Members and O</w:t>
      </w:r>
      <w:r>
        <w:t>bservers who</w:t>
      </w:r>
      <w:r w:rsidRPr="00904E88">
        <w:t xml:space="preserve"> enter the ELI-ERIC</w:t>
      </w:r>
      <w:r>
        <w:t xml:space="preserve"> as founding </w:t>
      </w:r>
      <w:r w:rsidRPr="00C93817">
        <w:t>Members</w:t>
      </w:r>
      <w:r w:rsidR="00086F87" w:rsidRPr="00C93817">
        <w:t>/Observers</w:t>
      </w:r>
      <w:r w:rsidRPr="00C93817">
        <w:t xml:space="preserve"> shall</w:t>
      </w:r>
      <w:r>
        <w:t xml:space="preserve"> </w:t>
      </w:r>
      <w:r w:rsidR="00B1667F">
        <w:t>agree</w:t>
      </w:r>
      <w:r>
        <w:t xml:space="preserve"> </w:t>
      </w:r>
      <w:r w:rsidR="004E0499">
        <w:t xml:space="preserve">both </w:t>
      </w:r>
      <w:r w:rsidR="00B1667F">
        <w:t xml:space="preserve">on </w:t>
      </w:r>
      <w:r>
        <w:t xml:space="preserve">the </w:t>
      </w:r>
      <w:r w:rsidR="009A7C90">
        <w:t>final</w:t>
      </w:r>
      <w:r>
        <w:t xml:space="preserve"> </w:t>
      </w:r>
      <w:r w:rsidR="00B1667F">
        <w:t xml:space="preserve">level of </w:t>
      </w:r>
      <w:r w:rsidR="009A7C90">
        <w:t>contribution</w:t>
      </w:r>
      <w:r>
        <w:t xml:space="preserve"> bas</w:t>
      </w:r>
      <w:r w:rsidR="00B1667F">
        <w:t>ed on the size</w:t>
      </w:r>
      <w:r>
        <w:t xml:space="preserve"> of their potential users communit</w:t>
      </w:r>
      <w:r w:rsidR="00B1667F">
        <w:t xml:space="preserve">y for </w:t>
      </w:r>
      <w:r w:rsidR="009A7C90">
        <w:t>the ELI Research Infrastructure</w:t>
      </w:r>
      <w:r w:rsidR="004E0499">
        <w:t>,</w:t>
      </w:r>
      <w:r w:rsidR="009A7C90">
        <w:t xml:space="preserve"> </w:t>
      </w:r>
      <w:r w:rsidR="00CE78D5">
        <w:t xml:space="preserve">and </w:t>
      </w:r>
      <w:r w:rsidR="009A7C90">
        <w:t xml:space="preserve">on </w:t>
      </w:r>
      <w:r w:rsidR="00CE78D5">
        <w:t xml:space="preserve">the </w:t>
      </w:r>
      <w:r w:rsidR="009A7C90">
        <w:t>ramp-up of the contribution.</w:t>
      </w:r>
      <w:r w:rsidR="005D1A7E">
        <w:t xml:space="preserve"> </w:t>
      </w:r>
      <w:r w:rsidR="009A7C90">
        <w:t>The final level of contribution shall be reached when</w:t>
      </w:r>
      <w:r w:rsidR="00CE78D5">
        <w:t xml:space="preserve"> the steady-state operation is reached, or </w:t>
      </w:r>
      <w:r w:rsidR="005D1A7E">
        <w:t>within</w:t>
      </w:r>
      <w:r w:rsidR="00CE78D5">
        <w:t xml:space="preserve"> the end of 2020 (whichever is earlier).</w:t>
      </w:r>
      <w:r w:rsidRPr="0048565C">
        <w:t xml:space="preserve"> </w:t>
      </w:r>
      <w:r w:rsidR="00662B02">
        <w:t>While</w:t>
      </w:r>
      <w:r w:rsidR="009F4241">
        <w:t xml:space="preserve"> the yearly contribution is below the agreed </w:t>
      </w:r>
      <w:r w:rsidR="00CE78D5">
        <w:t xml:space="preserve">contribution </w:t>
      </w:r>
      <w:r w:rsidR="009F4241">
        <w:t xml:space="preserve">level, a cap </w:t>
      </w:r>
      <w:r w:rsidR="00CE78D5">
        <w:t>may be imposed on the level of</w:t>
      </w:r>
      <w:r w:rsidR="00662B02">
        <w:t xml:space="preserve"> </w:t>
      </w:r>
      <w:r w:rsidR="00CE78D5">
        <w:t>scientific</w:t>
      </w:r>
      <w:r w:rsidR="009F4241">
        <w:t xml:space="preserve"> usage and </w:t>
      </w:r>
      <w:r w:rsidR="00CE78D5">
        <w:t>on</w:t>
      </w:r>
      <w:r w:rsidR="009F4241">
        <w:t xml:space="preserve"> other returns</w:t>
      </w:r>
      <w:r w:rsidR="00CE78D5">
        <w:t>, as deemed appropriate by the GA</w:t>
      </w:r>
      <w:r w:rsidR="009F4241">
        <w:t xml:space="preserve">. </w:t>
      </w:r>
    </w:p>
    <w:p w14:paraId="19AA9112" w14:textId="26F6C4A5" w:rsidR="000B654D" w:rsidRDefault="00CE78D5" w:rsidP="00A90DD5">
      <w:pPr>
        <w:pStyle w:val="Nadpis2"/>
      </w:pPr>
      <w:r>
        <w:t>Calculation of Member/Observer contributions 2018-2019: e</w:t>
      </w:r>
      <w:r w:rsidR="00311D27">
        <w:t xml:space="preserve">ach </w:t>
      </w:r>
      <w:r w:rsidR="005D1A7E">
        <w:t xml:space="preserve">founding </w:t>
      </w:r>
      <w:r w:rsidR="00F6095F">
        <w:t xml:space="preserve">non-Host </w:t>
      </w:r>
      <w:r w:rsidR="005D1A7E">
        <w:t>Member/</w:t>
      </w:r>
      <w:proofErr w:type="gramStart"/>
      <w:r w:rsidR="005D1A7E">
        <w:t xml:space="preserve">Observer, </w:t>
      </w:r>
      <w:r>
        <w:t>that</w:t>
      </w:r>
      <w:proofErr w:type="gramEnd"/>
      <w:r>
        <w:t xml:space="preserve"> is </w:t>
      </w:r>
      <w:r w:rsidR="005D1A7E">
        <w:t xml:space="preserve">already </w:t>
      </w:r>
      <w:r>
        <w:t xml:space="preserve">a </w:t>
      </w:r>
      <w:r w:rsidR="005D1A7E">
        <w:t xml:space="preserve">Member of ELI-DC, </w:t>
      </w:r>
      <w:r>
        <w:t>shall be obliged to pay</w:t>
      </w:r>
      <w:r w:rsidR="000B654D">
        <w:t xml:space="preserve"> the following annual contributions: </w:t>
      </w:r>
    </w:p>
    <w:p w14:paraId="75F7C272" w14:textId="6258E41D" w:rsidR="0069287C" w:rsidRDefault="000B654D" w:rsidP="009A7C90">
      <w:pPr>
        <w:pStyle w:val="Nadpis2"/>
        <w:numPr>
          <w:ilvl w:val="2"/>
          <w:numId w:val="3"/>
        </w:numPr>
      </w:pPr>
      <w:proofErr w:type="gramStart"/>
      <w:r>
        <w:t>in</w:t>
      </w:r>
      <w:proofErr w:type="gramEnd"/>
      <w:r>
        <w:t xml:space="preserve"> 2018:</w:t>
      </w:r>
      <w:r w:rsidR="00311D27" w:rsidRPr="0048565C">
        <w:t xml:space="preserve"> </w:t>
      </w:r>
      <w:r w:rsidR="0069287C">
        <w:t xml:space="preserve">a fixed fee of </w:t>
      </w:r>
      <w:r w:rsidR="00311D27" w:rsidRPr="0048565C">
        <w:t>€ 2</w:t>
      </w:r>
      <w:r w:rsidR="00311D27">
        <w:t>5</w:t>
      </w:r>
      <w:r w:rsidR="00311D27" w:rsidRPr="0048565C">
        <w:t>0 000</w:t>
      </w:r>
      <w:r w:rsidR="00311D27">
        <w:t xml:space="preserve"> in cash</w:t>
      </w:r>
      <w:r w:rsidR="009F31EE">
        <w:t>,</w:t>
      </w:r>
    </w:p>
    <w:p w14:paraId="69272F5D" w14:textId="18C60408" w:rsidR="0069287C" w:rsidRDefault="0069287C" w:rsidP="009A7C90">
      <w:pPr>
        <w:pStyle w:val="Nadpis2"/>
        <w:numPr>
          <w:ilvl w:val="2"/>
          <w:numId w:val="3"/>
        </w:numPr>
      </w:pPr>
      <w:proofErr w:type="gramStart"/>
      <w:r>
        <w:t>in</w:t>
      </w:r>
      <w:proofErr w:type="gramEnd"/>
      <w:r>
        <w:t xml:space="preserve"> 2019 at least 30% of their agreed contribution level</w:t>
      </w:r>
      <w:r w:rsidR="00311D27">
        <w:t xml:space="preserve"> </w:t>
      </w:r>
    </w:p>
    <w:p w14:paraId="552F337B" w14:textId="77777777" w:rsidR="004E0499" w:rsidRDefault="004E0499" w:rsidP="009A7C90">
      <w:pPr>
        <w:rPr>
          <w:rFonts w:ascii="Arial" w:hAnsi="Arial" w:cs="Arial"/>
        </w:rPr>
      </w:pPr>
    </w:p>
    <w:p w14:paraId="2AC6918C" w14:textId="14A1E485" w:rsidR="0069287C" w:rsidRPr="004E0499" w:rsidRDefault="0069287C" w:rsidP="004E0499">
      <w:pPr>
        <w:ind w:left="360"/>
        <w:jc w:val="both"/>
        <w:rPr>
          <w:rFonts w:ascii="Arial" w:hAnsi="Arial" w:cs="Arial"/>
          <w:lang w:val="en-GB"/>
        </w:rPr>
      </w:pPr>
      <w:r w:rsidRPr="004E0499">
        <w:rPr>
          <w:rFonts w:ascii="Arial" w:hAnsi="Arial" w:cs="Arial"/>
        </w:rPr>
        <w:t>F</w:t>
      </w:r>
      <w:r w:rsidR="002C2F2E" w:rsidRPr="004E0499">
        <w:rPr>
          <w:rFonts w:ascii="Arial" w:hAnsi="Arial" w:cs="Arial"/>
        </w:rPr>
        <w:t>ounding</w:t>
      </w:r>
      <w:r w:rsidR="00311D27" w:rsidRPr="004E0499">
        <w:rPr>
          <w:rFonts w:ascii="Arial" w:hAnsi="Arial" w:cs="Arial"/>
        </w:rPr>
        <w:t xml:space="preserve"> Members/Observers that </w:t>
      </w:r>
      <w:r w:rsidRPr="004E0499">
        <w:rPr>
          <w:rFonts w:ascii="Arial" w:hAnsi="Arial" w:cs="Arial"/>
        </w:rPr>
        <w:t>provide</w:t>
      </w:r>
      <w:r w:rsidR="00A53288" w:rsidRPr="004E0499">
        <w:rPr>
          <w:rFonts w:ascii="Arial" w:hAnsi="Arial" w:cs="Arial"/>
        </w:rPr>
        <w:t xml:space="preserve"> resources</w:t>
      </w:r>
      <w:r w:rsidR="00311D27" w:rsidRPr="004E0499">
        <w:rPr>
          <w:rFonts w:ascii="Arial" w:hAnsi="Arial" w:cs="Arial"/>
        </w:rPr>
        <w:t xml:space="preserve"> to </w:t>
      </w:r>
      <w:r w:rsidRPr="004E0499">
        <w:rPr>
          <w:rFonts w:ascii="Arial" w:hAnsi="Arial" w:cs="Arial"/>
        </w:rPr>
        <w:t xml:space="preserve">the </w:t>
      </w:r>
      <w:r w:rsidR="00311D27" w:rsidRPr="004E0499">
        <w:rPr>
          <w:rFonts w:ascii="Arial" w:hAnsi="Arial" w:cs="Arial"/>
        </w:rPr>
        <w:t xml:space="preserve">testing and commissioning of the technology and </w:t>
      </w:r>
      <w:r w:rsidR="00A53288" w:rsidRPr="004E0499">
        <w:rPr>
          <w:rFonts w:ascii="Arial" w:hAnsi="Arial" w:cs="Arial"/>
        </w:rPr>
        <w:t xml:space="preserve">of </w:t>
      </w:r>
      <w:r w:rsidR="00311D27" w:rsidRPr="004E0499">
        <w:rPr>
          <w:rFonts w:ascii="Arial" w:hAnsi="Arial" w:cs="Arial"/>
        </w:rPr>
        <w:t xml:space="preserve">the experimental set-ups in the Pillars shall be entitled to </w:t>
      </w:r>
      <w:r w:rsidR="005D1A7E" w:rsidRPr="004E0499">
        <w:rPr>
          <w:rFonts w:ascii="Arial" w:hAnsi="Arial" w:cs="Arial"/>
        </w:rPr>
        <w:t>have these</w:t>
      </w:r>
      <w:r w:rsidR="00311D27" w:rsidRPr="004E0499">
        <w:rPr>
          <w:rFonts w:ascii="Arial" w:hAnsi="Arial" w:cs="Arial"/>
        </w:rPr>
        <w:t xml:space="preserve"> recognized as additional in-kind contributions.</w:t>
      </w:r>
      <w:r w:rsidRPr="004E0499">
        <w:rPr>
          <w:rFonts w:ascii="Arial" w:hAnsi="Arial" w:cs="Arial"/>
        </w:rPr>
        <w:t xml:space="preserve"> The cost value attributed to each in-kind contribution (and FTE) shall be agreed by the GA.</w:t>
      </w:r>
    </w:p>
    <w:p w14:paraId="095B68D5" w14:textId="379FD8B6" w:rsidR="004E0499" w:rsidRDefault="0069287C" w:rsidP="00A90DD5">
      <w:pPr>
        <w:pStyle w:val="Nadpis2"/>
      </w:pPr>
      <w:r w:rsidRPr="004E0499">
        <w:t>Calculation of contributions for f</w:t>
      </w:r>
      <w:r w:rsidR="00FF17F5" w:rsidRPr="004E0499">
        <w:t>ounding Members</w:t>
      </w:r>
      <w:r w:rsidR="004E0499">
        <w:t>/Observers</w:t>
      </w:r>
      <w:r w:rsidR="00FF17F5">
        <w:t xml:space="preserve"> </w:t>
      </w:r>
      <w:r w:rsidR="004E0499">
        <w:t>that were not previously</w:t>
      </w:r>
      <w:r w:rsidR="00FF17F5">
        <w:t xml:space="preserve"> Members of ELI-DC</w:t>
      </w:r>
      <w:r>
        <w:t>:</w:t>
      </w:r>
      <w:r w:rsidR="00FF17F5">
        <w:t xml:space="preserve"> </w:t>
      </w:r>
    </w:p>
    <w:p w14:paraId="73645999" w14:textId="1600B480" w:rsidR="0032725C" w:rsidRDefault="004E0499" w:rsidP="004E0499">
      <w:pPr>
        <w:pStyle w:val="Nadpis2"/>
        <w:numPr>
          <w:ilvl w:val="0"/>
          <w:numId w:val="0"/>
        </w:numPr>
        <w:ind w:left="720"/>
      </w:pPr>
      <w:r>
        <w:t>E</w:t>
      </w:r>
      <w:r w:rsidR="0032725C">
        <w:t>ach founding non-host Member/Observer that was not a Member of ELI-DC shall be obliged to pay the following annual contributions:</w:t>
      </w:r>
    </w:p>
    <w:p w14:paraId="62946E63" w14:textId="5A26226B" w:rsidR="0032725C" w:rsidRDefault="0032725C" w:rsidP="009A7C90">
      <w:pPr>
        <w:pStyle w:val="Nadpis2"/>
        <w:numPr>
          <w:ilvl w:val="2"/>
          <w:numId w:val="3"/>
        </w:numPr>
      </w:pPr>
      <w:r>
        <w:t>2018</w:t>
      </w:r>
      <w:r w:rsidR="009F31EE">
        <w:t>:</w:t>
      </w:r>
      <w:r>
        <w:t xml:space="preserve"> a fixed fee of € 250 000 in cash or a cash contribution of at least 20% of their agreed contribution level, whichever is greatest.</w:t>
      </w:r>
    </w:p>
    <w:p w14:paraId="434EB548" w14:textId="04033FA3" w:rsidR="0032725C" w:rsidRDefault="0032725C" w:rsidP="009A7C90">
      <w:pPr>
        <w:pStyle w:val="Nadpis2"/>
        <w:numPr>
          <w:ilvl w:val="2"/>
          <w:numId w:val="3"/>
        </w:numPr>
      </w:pPr>
      <w:r>
        <w:t>2019</w:t>
      </w:r>
      <w:r w:rsidR="00AC6C92">
        <w:t>:</w:t>
      </w:r>
      <w:r>
        <w:t xml:space="preserve"> a cash contribution of at le</w:t>
      </w:r>
      <w:r w:rsidR="004E0499">
        <w:t>a</w:t>
      </w:r>
      <w:r>
        <w:t xml:space="preserve">st 40% of their agreed contribution level. </w:t>
      </w:r>
    </w:p>
    <w:p w14:paraId="71B95B37" w14:textId="77777777" w:rsidR="0032725C" w:rsidRDefault="0032725C" w:rsidP="009A7C90">
      <w:pPr>
        <w:pStyle w:val="Nadpis2"/>
        <w:numPr>
          <w:ilvl w:val="0"/>
          <w:numId w:val="0"/>
        </w:numPr>
        <w:ind w:left="720" w:hanging="360"/>
      </w:pPr>
    </w:p>
    <w:p w14:paraId="08494EA3" w14:textId="3AA0A713" w:rsidR="00FF17F5" w:rsidRDefault="0032725C" w:rsidP="009A7C90">
      <w:pPr>
        <w:pStyle w:val="Nadpis2"/>
        <w:numPr>
          <w:ilvl w:val="0"/>
          <w:numId w:val="0"/>
        </w:numPr>
        <w:ind w:left="720" w:hanging="360"/>
      </w:pPr>
      <w:r>
        <w:t>Founding Members/Observers that were not previously Members of ELI-DC</w:t>
      </w:r>
      <w:r w:rsidR="004E0499">
        <w:t>, who provide resources dedicated to</w:t>
      </w:r>
      <w:r w:rsidR="00FF17F5">
        <w:t xml:space="preserve"> the testing and commissioning of the technology and experimental set-up</w:t>
      </w:r>
      <w:r>
        <w:t xml:space="preserve"> in the Pillars may be entitled to have these recognized as additional in-kind contributions. The cost value attributed to each in kind (and FTE)</w:t>
      </w:r>
      <w:r w:rsidR="000A2682">
        <w:t>, and related conditions</w:t>
      </w:r>
      <w:r w:rsidR="00FF17F5">
        <w:t xml:space="preserve"> </w:t>
      </w:r>
      <w:r>
        <w:t>shall be agreed</w:t>
      </w:r>
      <w:r w:rsidR="00FF17F5">
        <w:t xml:space="preserve"> </w:t>
      </w:r>
      <w:r>
        <w:t xml:space="preserve">by the GA </w:t>
      </w:r>
      <w:r w:rsidR="00065D5B">
        <w:t xml:space="preserve">on a </w:t>
      </w:r>
      <w:r w:rsidR="00FF17F5">
        <w:t>case-by-case</w:t>
      </w:r>
      <w:r w:rsidR="00065D5B">
        <w:t xml:space="preserve"> basis</w:t>
      </w:r>
      <w:r w:rsidR="00FF17F5">
        <w:t>.</w:t>
      </w:r>
    </w:p>
    <w:p w14:paraId="1CDA356B" w14:textId="77777777" w:rsidR="00A66B32" w:rsidRPr="00A66B32" w:rsidRDefault="00A66B32" w:rsidP="003775C3">
      <w:pPr>
        <w:pStyle w:val="Nadpis1"/>
        <w:numPr>
          <w:ilvl w:val="0"/>
          <w:numId w:val="0"/>
        </w:numPr>
        <w:ind w:left="357"/>
      </w:pPr>
    </w:p>
    <w:p w14:paraId="782F9B0F" w14:textId="0BACFEC0" w:rsidR="008611A6" w:rsidRDefault="00161772" w:rsidP="003775C3">
      <w:pPr>
        <w:pStyle w:val="Nadpis1"/>
      </w:pPr>
      <w:r>
        <w:lastRenderedPageBreak/>
        <w:t>Allocation of costs during s</w:t>
      </w:r>
      <w:r w:rsidR="008611A6" w:rsidRPr="00FF17F5">
        <w:t>teady state operation</w:t>
      </w:r>
      <w:r w:rsidR="008434DB" w:rsidRPr="00FF17F5">
        <w:t xml:space="preserve"> </w:t>
      </w:r>
      <w:r w:rsidR="0032725C">
        <w:t xml:space="preserve">after </w:t>
      </w:r>
      <w:r w:rsidR="00AC6C92">
        <w:t>2019</w:t>
      </w:r>
      <w:r w:rsidR="007A323B" w:rsidRPr="00FF17F5">
        <w:t>:</w:t>
      </w:r>
    </w:p>
    <w:p w14:paraId="76EEE645" w14:textId="0AF7E17C" w:rsidR="008F3042" w:rsidRPr="00AC4327" w:rsidRDefault="00FD4E8F" w:rsidP="003775C3">
      <w:pPr>
        <w:pStyle w:val="Nadpis2"/>
        <w:numPr>
          <w:ilvl w:val="1"/>
          <w:numId w:val="9"/>
        </w:numPr>
      </w:pPr>
      <w:r>
        <w:t>The M</w:t>
      </w:r>
      <w:r w:rsidR="008F3042">
        <w:t>embers</w:t>
      </w:r>
      <w:r w:rsidR="00395A34">
        <w:t>/Observers of ELI-ERIC</w:t>
      </w:r>
      <w:r w:rsidR="008F3042">
        <w:t xml:space="preserve"> s</w:t>
      </w:r>
      <w:r>
        <w:t>hall contribute to the operating</w:t>
      </w:r>
      <w:r w:rsidR="00AC4327">
        <w:t xml:space="preserve"> costs</w:t>
      </w:r>
      <w:r>
        <w:t xml:space="preserve"> </w:t>
      </w:r>
      <w:r w:rsidR="004E0499">
        <w:t>on the principle of proportiona</w:t>
      </w:r>
      <w:r>
        <w:t>lity</w:t>
      </w:r>
      <w:r w:rsidR="008F3042">
        <w:t xml:space="preserve"> to</w:t>
      </w:r>
      <w:r w:rsidR="00AC4327">
        <w:t xml:space="preserve"> their use of </w:t>
      </w:r>
      <w:r w:rsidR="004E0499">
        <w:t xml:space="preserve">the </w:t>
      </w:r>
      <w:r w:rsidR="00AC4327">
        <w:t>ELI</w:t>
      </w:r>
      <w:r w:rsidR="00395A34">
        <w:t xml:space="preserve"> R</w:t>
      </w:r>
      <w:r w:rsidR="00161772">
        <w:t>e</w:t>
      </w:r>
      <w:r w:rsidR="00395A34">
        <w:t>search Infrastructure</w:t>
      </w:r>
      <w:r w:rsidR="00AC4327">
        <w:t>.</w:t>
      </w:r>
    </w:p>
    <w:p w14:paraId="3B3BB7D8" w14:textId="044DD311" w:rsidR="004E0499" w:rsidRDefault="00395A34" w:rsidP="009A7C90">
      <w:pPr>
        <w:pStyle w:val="Nadpis2"/>
        <w:numPr>
          <w:ilvl w:val="1"/>
          <w:numId w:val="9"/>
        </w:numPr>
      </w:pPr>
      <w:r>
        <w:t>For the first five years of steady state operation t</w:t>
      </w:r>
      <w:r w:rsidR="007A323B">
        <w:t xml:space="preserve">he Host Members </w:t>
      </w:r>
      <w:r>
        <w:t xml:space="preserve">shall jointly </w:t>
      </w:r>
      <w:r w:rsidR="007A323B">
        <w:t>contribute</w:t>
      </w:r>
      <w:r w:rsidR="00B3586F" w:rsidRPr="006357F6">
        <w:t xml:space="preserve"> 20% of the total </w:t>
      </w:r>
      <w:r w:rsidR="00307DBC">
        <w:t>operati</w:t>
      </w:r>
      <w:r w:rsidR="00FD4E8F">
        <w:t>ng</w:t>
      </w:r>
      <w:r w:rsidR="00307DBC">
        <w:t xml:space="preserve"> </w:t>
      </w:r>
      <w:r w:rsidR="00B3586F" w:rsidRPr="006357F6">
        <w:t>cost</w:t>
      </w:r>
      <w:r>
        <w:t>s. These costs shall be</w:t>
      </w:r>
      <w:r w:rsidR="00B3586F" w:rsidRPr="006357F6">
        <w:t xml:space="preserve"> </w:t>
      </w:r>
      <w:r w:rsidR="00322B09">
        <w:t>proportional to the operational cost of their respective facility</w:t>
      </w:r>
      <w:r>
        <w:t xml:space="preserve"> and include an additional host premium.</w:t>
      </w:r>
      <w:r w:rsidR="00B3586F" w:rsidRPr="006357F6">
        <w:t xml:space="preserve"> </w:t>
      </w:r>
      <w:r w:rsidR="00593B04">
        <w:t xml:space="preserve">After this period their </w:t>
      </w:r>
      <w:r>
        <w:t xml:space="preserve">agreed </w:t>
      </w:r>
      <w:r w:rsidR="00593B04">
        <w:t xml:space="preserve">contribution </w:t>
      </w:r>
      <w:r w:rsidR="00161772">
        <w:t>shall</w:t>
      </w:r>
      <w:r w:rsidR="00593B04">
        <w:t xml:space="preserve"> be</w:t>
      </w:r>
      <w:r w:rsidR="00B3586F" w:rsidRPr="006357F6">
        <w:t xml:space="preserve"> </w:t>
      </w:r>
      <w:r w:rsidR="00B3586F" w:rsidRPr="0048565C">
        <w:t xml:space="preserve">calculated on the basis of </w:t>
      </w:r>
      <w:r w:rsidR="00307DBC">
        <w:t xml:space="preserve">the </w:t>
      </w:r>
      <w:r w:rsidR="00161772">
        <w:t>rolling-</w:t>
      </w:r>
      <w:r w:rsidR="00A07A89">
        <w:t>average use</w:t>
      </w:r>
      <w:r w:rsidR="00161772">
        <w:t>d by each Member</w:t>
      </w:r>
      <w:r w:rsidR="00A07A89">
        <w:t xml:space="preserve"> in the </w:t>
      </w:r>
      <w:r w:rsidR="00B3586F" w:rsidRPr="0048565C">
        <w:t>previous three years</w:t>
      </w:r>
      <w:r w:rsidR="004E0499">
        <w:t>.</w:t>
      </w:r>
    </w:p>
    <w:p w14:paraId="5F6E7064" w14:textId="7D08B75A" w:rsidR="00161772" w:rsidRDefault="00B3586F" w:rsidP="009A7C90">
      <w:pPr>
        <w:pStyle w:val="Nadpis2"/>
        <w:numPr>
          <w:ilvl w:val="1"/>
          <w:numId w:val="9"/>
        </w:numPr>
      </w:pPr>
      <w:r w:rsidRPr="0048565C">
        <w:t xml:space="preserve">The </w:t>
      </w:r>
      <w:r w:rsidR="007A323B">
        <w:t xml:space="preserve">non-Host Members </w:t>
      </w:r>
      <w:r w:rsidR="00161772">
        <w:t xml:space="preserve">shall each </w:t>
      </w:r>
      <w:r w:rsidR="007A323B">
        <w:t xml:space="preserve">contribute a share </w:t>
      </w:r>
      <w:r w:rsidR="00161772">
        <w:t xml:space="preserve">of the operational costs. Each non-Host Members contribution shall be based on either: </w:t>
      </w:r>
      <w:r w:rsidR="007A323B">
        <w:t xml:space="preserve"> </w:t>
      </w:r>
    </w:p>
    <w:p w14:paraId="687A5E67" w14:textId="38A6E8AD" w:rsidR="00161772" w:rsidRDefault="00774326" w:rsidP="009A7C90">
      <w:pPr>
        <w:pStyle w:val="Nadpis2"/>
        <w:numPr>
          <w:ilvl w:val="2"/>
          <w:numId w:val="9"/>
        </w:numPr>
      </w:pPr>
      <w:r>
        <w:t>T</w:t>
      </w:r>
      <w:r w:rsidR="007A323B">
        <w:t>he</w:t>
      </w:r>
      <w:r w:rsidR="00307DBC">
        <w:t xml:space="preserve">ir </w:t>
      </w:r>
      <w:r w:rsidR="00A07A89">
        <w:t>average</w:t>
      </w:r>
      <w:r w:rsidR="005C4511">
        <w:t xml:space="preserve"> percentage of</w:t>
      </w:r>
      <w:r w:rsidR="00A07A89">
        <w:t xml:space="preserve"> </w:t>
      </w:r>
      <w:r w:rsidR="007A323B">
        <w:t>us</w:t>
      </w:r>
      <w:r w:rsidR="00161772">
        <w:t>age</w:t>
      </w:r>
      <w:r w:rsidR="007A323B">
        <w:t xml:space="preserve"> in the</w:t>
      </w:r>
      <w:r w:rsidR="00B3586F" w:rsidRPr="0048565C">
        <w:t xml:space="preserve"> previous three years</w:t>
      </w:r>
      <w:r w:rsidR="00161772">
        <w:t>, or</w:t>
      </w:r>
    </w:p>
    <w:p w14:paraId="3FDA161C" w14:textId="042F1C0C" w:rsidR="00AA2D33" w:rsidRDefault="00774326" w:rsidP="009A7C90">
      <w:pPr>
        <w:pStyle w:val="Nadpis2"/>
        <w:numPr>
          <w:ilvl w:val="2"/>
          <w:numId w:val="9"/>
        </w:numPr>
      </w:pPr>
      <w:r>
        <w:t>O</w:t>
      </w:r>
      <w:r w:rsidR="00B3586F" w:rsidRPr="0048565C">
        <w:t xml:space="preserve">n </w:t>
      </w:r>
      <w:r w:rsidR="00D53F3B">
        <w:t>an</w:t>
      </w:r>
      <w:r w:rsidR="00020405">
        <w:t xml:space="preserve"> </w:t>
      </w:r>
      <w:r w:rsidR="005C4511">
        <w:t>agreed percentage</w:t>
      </w:r>
      <w:r w:rsidR="00D53F3B">
        <w:t xml:space="preserve"> of usage</w:t>
      </w:r>
      <w:r w:rsidR="005C4511">
        <w:t xml:space="preserve">, </w:t>
      </w:r>
      <w:r w:rsidR="00AA2D33">
        <w:t>(</w:t>
      </w:r>
      <w:r w:rsidR="005C4511">
        <w:t xml:space="preserve">e.g. </w:t>
      </w:r>
      <w:r w:rsidR="00FC40C5">
        <w:t xml:space="preserve">related to the size of the users community as inferred </w:t>
      </w:r>
      <w:r w:rsidR="005C4511">
        <w:t xml:space="preserve">from </w:t>
      </w:r>
      <w:r w:rsidR="00020405">
        <w:t xml:space="preserve">available </w:t>
      </w:r>
      <w:r w:rsidR="00AA2D33">
        <w:t xml:space="preserve">publications </w:t>
      </w:r>
      <w:r w:rsidR="00020405">
        <w:t>data</w:t>
      </w:r>
      <w:r w:rsidR="00B3586F" w:rsidRPr="0048565C">
        <w:t>)</w:t>
      </w:r>
      <w:r w:rsidR="00381FFD">
        <w:t xml:space="preserve">. </w:t>
      </w:r>
    </w:p>
    <w:p w14:paraId="616C3AB0" w14:textId="674B52B3" w:rsidR="007A323B" w:rsidRDefault="00FC5289" w:rsidP="009A7C90">
      <w:pPr>
        <w:pStyle w:val="Nadpis2"/>
        <w:numPr>
          <w:ilvl w:val="2"/>
          <w:numId w:val="9"/>
        </w:numPr>
      </w:pPr>
      <w:r>
        <w:t>This amount will include</w:t>
      </w:r>
      <w:r w:rsidR="00BE1BB3" w:rsidRPr="0048565C">
        <w:t xml:space="preserve"> a minimum fixed </w:t>
      </w:r>
      <w:r w:rsidR="00381FFD">
        <w:t xml:space="preserve">part of 50% of the </w:t>
      </w:r>
      <w:r w:rsidR="005C4511">
        <w:t>initial agreed</w:t>
      </w:r>
      <w:r w:rsidR="00307DBC">
        <w:t xml:space="preserve"> contribution</w:t>
      </w:r>
      <w:r w:rsidR="005C4511">
        <w:t xml:space="preserve"> </w:t>
      </w:r>
      <w:r w:rsidR="00381FFD">
        <w:t xml:space="preserve">and </w:t>
      </w:r>
      <w:r w:rsidR="00AA2D33">
        <w:t>a</w:t>
      </w:r>
      <w:r w:rsidR="00381FFD">
        <w:t xml:space="preserve"> variable</w:t>
      </w:r>
      <w:r w:rsidR="00AA2D33">
        <w:t xml:space="preserve"> fee based on actual usage. If the variable part is higher than 50% of the total for more than two years, the agreed contribution shal</w:t>
      </w:r>
      <w:r w:rsidR="006E5EEE">
        <w:t>l be reviewed</w:t>
      </w:r>
      <w:r w:rsidR="00381FFD">
        <w:t>.</w:t>
      </w:r>
      <w:r w:rsidR="00B3586F" w:rsidRPr="00904E88">
        <w:t xml:space="preserve"> </w:t>
      </w:r>
    </w:p>
    <w:p w14:paraId="70DB9667" w14:textId="1E53AA57" w:rsidR="00867A06" w:rsidRPr="00F85656" w:rsidRDefault="00B3586F" w:rsidP="003775C3">
      <w:pPr>
        <w:pStyle w:val="Nadpis2"/>
      </w:pPr>
      <w:r w:rsidRPr="00F85656">
        <w:t xml:space="preserve">An Observer </w:t>
      </w:r>
      <w:r w:rsidR="00AA2D33" w:rsidRPr="00F85656">
        <w:t>to ELI-ERIC shall also contribute</w:t>
      </w:r>
      <w:r w:rsidRPr="00F85656">
        <w:t xml:space="preserve"> a share </w:t>
      </w:r>
      <w:r w:rsidR="00AA2D33" w:rsidRPr="00F85656">
        <w:t>of the operational costs</w:t>
      </w:r>
      <w:r w:rsidR="006E5EEE" w:rsidRPr="00F85656">
        <w:t>.</w:t>
      </w:r>
      <w:r w:rsidR="00D53F3B" w:rsidRPr="00F85656">
        <w:t xml:space="preserve"> </w:t>
      </w:r>
      <w:r w:rsidR="00867A06" w:rsidRPr="00F85656">
        <w:t xml:space="preserve">This will </w:t>
      </w:r>
      <w:r w:rsidR="00D53F3B" w:rsidRPr="00F85656">
        <w:t xml:space="preserve">consist </w:t>
      </w:r>
      <w:r w:rsidRPr="00F85656">
        <w:t xml:space="preserve">of </w:t>
      </w:r>
      <w:r w:rsidR="005C4511" w:rsidRPr="00F85656">
        <w:t xml:space="preserve">a fixed </w:t>
      </w:r>
      <w:r w:rsidR="00867A06" w:rsidRPr="00F85656">
        <w:t>fee</w:t>
      </w:r>
      <w:r w:rsidR="005C4511" w:rsidRPr="00F85656">
        <w:t xml:space="preserve"> of </w:t>
      </w:r>
      <w:r w:rsidR="00867A06" w:rsidRPr="00F85656">
        <w:t xml:space="preserve">€ </w:t>
      </w:r>
      <w:r w:rsidR="00D53F3B" w:rsidRPr="00F85656">
        <w:t>25</w:t>
      </w:r>
      <w:r w:rsidR="005C4511" w:rsidRPr="00F85656">
        <w:t>0 000</w:t>
      </w:r>
      <w:r w:rsidR="00381FFD" w:rsidRPr="00F85656">
        <w:t xml:space="preserve"> </w:t>
      </w:r>
      <w:r w:rsidR="00867A06" w:rsidRPr="00F85656">
        <w:t>per year in addition to a contribution based on either:</w:t>
      </w:r>
    </w:p>
    <w:p w14:paraId="7129DEAF" w14:textId="0ABA8501" w:rsidR="00867A06" w:rsidRPr="00F85656" w:rsidRDefault="00867A06" w:rsidP="009A7C90">
      <w:pPr>
        <w:pStyle w:val="Nadpis2"/>
        <w:numPr>
          <w:ilvl w:val="2"/>
          <w:numId w:val="3"/>
        </w:numPr>
      </w:pPr>
      <w:r w:rsidRPr="00F85656">
        <w:t>Their average percentage of usage of the ELI-ERIC infrastructure in the previous three years</w:t>
      </w:r>
      <w:r w:rsidR="00774326" w:rsidRPr="00F85656">
        <w:t>,</w:t>
      </w:r>
      <w:r w:rsidRPr="00F85656">
        <w:t xml:space="preserve"> or</w:t>
      </w:r>
    </w:p>
    <w:p w14:paraId="7417A3AF" w14:textId="0A1943AC" w:rsidR="00867A06" w:rsidRPr="00F85656" w:rsidRDefault="00867A06" w:rsidP="009A7C90">
      <w:pPr>
        <w:pStyle w:val="Nadpis2"/>
        <w:numPr>
          <w:ilvl w:val="2"/>
          <w:numId w:val="3"/>
        </w:numPr>
      </w:pPr>
      <w:r w:rsidRPr="00F85656">
        <w:t>On the basis of an agreed estimated percentage of usage (e.g. from publications data)</w:t>
      </w:r>
      <w:r w:rsidR="00774326" w:rsidRPr="00F85656">
        <w:t>.</w:t>
      </w:r>
    </w:p>
    <w:p w14:paraId="77D3E0DD" w14:textId="2F22D88D" w:rsidR="00BE1BB3" w:rsidRDefault="00867A06" w:rsidP="009A7C90">
      <w:pPr>
        <w:pStyle w:val="Nadpis2"/>
        <w:numPr>
          <w:ilvl w:val="0"/>
          <w:numId w:val="0"/>
        </w:numPr>
        <w:ind w:left="1080"/>
      </w:pPr>
      <w:r w:rsidRPr="00F85656">
        <w:t>The contribution amount shall include a minimum fixed fee of 50% of the agreed contribution and a variable fee based on the actual usage of the facility. The agreed contribution shall be renegotiated if the variable part is higher than 50% of the initial ag</w:t>
      </w:r>
      <w:r w:rsidR="00FC40C5" w:rsidRPr="00F85656">
        <w:t>r</w:t>
      </w:r>
      <w:r w:rsidRPr="00F85656">
        <w:t>eed contribution.</w:t>
      </w:r>
      <w:r>
        <w:t xml:space="preserve"> </w:t>
      </w:r>
    </w:p>
    <w:p w14:paraId="4718954F" w14:textId="625217BB" w:rsidR="003C4520" w:rsidRPr="0048565C" w:rsidRDefault="003C4520" w:rsidP="003775C3">
      <w:pPr>
        <w:pStyle w:val="Nadpis2"/>
      </w:pPr>
      <w:r w:rsidRPr="0048565C">
        <w:t>No</w:t>
      </w:r>
      <w:r w:rsidR="00867A06">
        <w:t xml:space="preserve"> non-Host Mem</w:t>
      </w:r>
      <w:r w:rsidR="00B664DC">
        <w:t>ber or O</w:t>
      </w:r>
      <w:r w:rsidR="00867A06">
        <w:t>bserver</w:t>
      </w:r>
      <w:r w:rsidRPr="0048565C">
        <w:t xml:space="preserve"> shall pay more than </w:t>
      </w:r>
      <w:r w:rsidR="00A66B32">
        <w:t>25</w:t>
      </w:r>
      <w:r w:rsidRPr="00904E88">
        <w:t xml:space="preserve"> % of the </w:t>
      </w:r>
      <w:r w:rsidR="00867A06">
        <w:t>operational costs</w:t>
      </w:r>
      <w:r w:rsidRPr="0048565C">
        <w:t xml:space="preserve"> in the first five years.</w:t>
      </w:r>
    </w:p>
    <w:p w14:paraId="716D69A7" w14:textId="77777777" w:rsidR="003C4520" w:rsidRPr="00A66B32" w:rsidRDefault="003C4520" w:rsidP="003775C3">
      <w:pPr>
        <w:pStyle w:val="Nadpis1"/>
        <w:numPr>
          <w:ilvl w:val="0"/>
          <w:numId w:val="0"/>
        </w:numPr>
        <w:ind w:left="357"/>
      </w:pPr>
    </w:p>
    <w:p w14:paraId="3D12FF89" w14:textId="337A82BA" w:rsidR="00052B3E" w:rsidRDefault="007B12B4" w:rsidP="006E5EEE">
      <w:pPr>
        <w:pStyle w:val="Nadpis1"/>
      </w:pPr>
      <w:r>
        <w:t>During the first five years of steady state operations a</w:t>
      </w:r>
      <w:r w:rsidR="00EF033D" w:rsidRPr="005C4511">
        <w:t>t least 50% of the contribution</w:t>
      </w:r>
      <w:r w:rsidR="006137D8" w:rsidRPr="005C4511">
        <w:t>s</w:t>
      </w:r>
      <w:r w:rsidR="00EF033D" w:rsidRPr="005C4511">
        <w:t xml:space="preserve"> </w:t>
      </w:r>
      <w:r w:rsidR="00D717FD">
        <w:t>made by</w:t>
      </w:r>
      <w:r w:rsidR="00EF033D" w:rsidRPr="005C4511">
        <w:t xml:space="preserve"> </w:t>
      </w:r>
      <w:r w:rsidR="00D717FD">
        <w:t xml:space="preserve">non-Host </w:t>
      </w:r>
      <w:r w:rsidR="00EF033D" w:rsidRPr="005C4511">
        <w:t>Member</w:t>
      </w:r>
      <w:r w:rsidR="004373BF" w:rsidRPr="005C4511">
        <w:t>s</w:t>
      </w:r>
      <w:r w:rsidR="00EF033D" w:rsidRPr="005C4511">
        <w:t xml:space="preserve"> or Observer</w:t>
      </w:r>
      <w:r w:rsidR="005C4511">
        <w:t xml:space="preserve">s who enter after </w:t>
      </w:r>
      <w:r w:rsidR="00D717FD">
        <w:t>the initial start-up</w:t>
      </w:r>
      <w:r w:rsidR="006E5EEE">
        <w:t xml:space="preserve">, </w:t>
      </w:r>
      <w:r w:rsidR="006E5EEE" w:rsidRPr="00FC40C5">
        <w:t>and after reaching the sustainability level</w:t>
      </w:r>
      <w:r w:rsidR="00D717FD">
        <w:t xml:space="preserve"> of </w:t>
      </w:r>
      <w:r w:rsidR="004373BF" w:rsidRPr="005C4511">
        <w:t>ELI-ERIC</w:t>
      </w:r>
      <w:r w:rsidR="00FC40C5">
        <w:t>,</w:t>
      </w:r>
      <w:r w:rsidR="00EF033D" w:rsidRPr="005C4511">
        <w:t xml:space="preserve"> will be devoted to </w:t>
      </w:r>
      <w:r w:rsidR="00D717FD">
        <w:t>reduce</w:t>
      </w:r>
      <w:r w:rsidR="00EF033D" w:rsidRPr="005C4511">
        <w:t xml:space="preserve"> the contribution of the </w:t>
      </w:r>
      <w:r w:rsidR="00381FFD" w:rsidRPr="005C4511">
        <w:t xml:space="preserve">founding </w:t>
      </w:r>
      <w:r w:rsidR="00EF033D" w:rsidRPr="005C4511">
        <w:t>Members and Obser</w:t>
      </w:r>
      <w:r w:rsidR="005C4511">
        <w:t xml:space="preserve">vers </w:t>
      </w:r>
      <w:r w:rsidR="00D717FD">
        <w:t xml:space="preserve">on a pro-rata </w:t>
      </w:r>
      <w:r w:rsidR="00D717FD">
        <w:lastRenderedPageBreak/>
        <w:t xml:space="preserve">basis according to their contributions </w:t>
      </w:r>
      <w:r w:rsidR="005C4511">
        <w:t xml:space="preserve">calculated </w:t>
      </w:r>
      <w:r w:rsidR="00D717FD">
        <w:t>in paragraph</w:t>
      </w:r>
      <w:r w:rsidR="005C4511">
        <w:t xml:space="preserve"> </w:t>
      </w:r>
      <w:r w:rsidR="00EF033D" w:rsidRPr="005C4511">
        <w:t>(</w:t>
      </w:r>
      <w:r w:rsidR="00A66B32">
        <w:t>6</w:t>
      </w:r>
      <w:r w:rsidR="00EF033D" w:rsidRPr="005C4511">
        <w:t>)</w:t>
      </w:r>
      <w:r w:rsidR="00D717FD">
        <w:t>.</w:t>
      </w:r>
      <w:r w:rsidR="00B6191D" w:rsidRPr="005C4511">
        <w:t xml:space="preserve"> </w:t>
      </w:r>
      <w:r w:rsidR="00D717FD">
        <w:t xml:space="preserve">From year six onwards, funding by </w:t>
      </w:r>
      <w:r w:rsidR="00D53F3B">
        <w:t xml:space="preserve">new </w:t>
      </w:r>
      <w:r w:rsidR="00D717FD">
        <w:t xml:space="preserve">Members and Observers will </w:t>
      </w:r>
      <w:r w:rsidR="00FC40C5">
        <w:t xml:space="preserve">be </w:t>
      </w:r>
      <w:r w:rsidR="00D717FD">
        <w:t xml:space="preserve">used to reduce the </w:t>
      </w:r>
      <w:r w:rsidR="00D53F3B">
        <w:t>contributions</w:t>
      </w:r>
      <w:r w:rsidR="00B6191D" w:rsidRPr="005C4511">
        <w:t xml:space="preserve"> of </w:t>
      </w:r>
      <w:r w:rsidR="00A66B32">
        <w:t>all</w:t>
      </w:r>
      <w:r w:rsidR="00B6191D" w:rsidRPr="005C4511">
        <w:t xml:space="preserve"> </w:t>
      </w:r>
      <w:r w:rsidR="00D53F3B">
        <w:t xml:space="preserve">previous </w:t>
      </w:r>
      <w:r w:rsidR="00B6191D" w:rsidRPr="005C4511">
        <w:t>Members</w:t>
      </w:r>
      <w:r w:rsidR="00D717FD">
        <w:t xml:space="preserve"> on a pro-rata basis</w:t>
      </w:r>
      <w:r w:rsidR="00130C2E" w:rsidRPr="005C4511">
        <w:t>.</w:t>
      </w:r>
    </w:p>
    <w:p w14:paraId="52C37C27" w14:textId="77777777" w:rsidR="00052B3E" w:rsidRDefault="00052B3E" w:rsidP="00052B3E">
      <w:pPr>
        <w:rPr>
          <w:lang w:val="en-GB"/>
        </w:rPr>
      </w:pPr>
    </w:p>
    <w:p w14:paraId="54C82396" w14:textId="7DF5DF06" w:rsidR="00052B3E" w:rsidRDefault="00052B3E" w:rsidP="00052B3E">
      <w:pPr>
        <w:pStyle w:val="Nadpis1"/>
      </w:pPr>
      <w:r>
        <w:t>Contributions in-kind</w:t>
      </w:r>
      <w:r w:rsidR="00706EB3">
        <w:t xml:space="preserve"> </w:t>
      </w:r>
      <w:r>
        <w:t>by Members</w:t>
      </w:r>
      <w:r w:rsidR="00D717FD">
        <w:t xml:space="preserve"> and Observers</w:t>
      </w:r>
      <w:r>
        <w:t xml:space="preserve"> will be </w:t>
      </w:r>
      <w:r w:rsidR="00706EB3">
        <w:t>possible both</w:t>
      </w:r>
      <w:r>
        <w:t xml:space="preserve"> </w:t>
      </w:r>
      <w:r w:rsidR="00706EB3">
        <w:t>to cover requirements for new projects/</w:t>
      </w:r>
      <w:r>
        <w:t>upgrades and for operation, subject to approval of the GA</w:t>
      </w:r>
      <w:r w:rsidR="00706EB3">
        <w:t>.</w:t>
      </w:r>
      <w:r>
        <w:t xml:space="preserve"> </w:t>
      </w:r>
      <w:r w:rsidR="00706EB3">
        <w:t xml:space="preserve">ELI-ERIC will develop an in-kind policy </w:t>
      </w:r>
      <w:r>
        <w:t>and a Cost-Book approved by the GA with the support of the AFC:</w:t>
      </w:r>
    </w:p>
    <w:p w14:paraId="60CF6C48" w14:textId="43557D94" w:rsidR="00C35E97" w:rsidRDefault="00052B3E" w:rsidP="00052B3E">
      <w:pPr>
        <w:pStyle w:val="Nadpis1"/>
        <w:numPr>
          <w:ilvl w:val="0"/>
          <w:numId w:val="21"/>
        </w:numPr>
      </w:pPr>
      <w:proofErr w:type="gramStart"/>
      <w:r w:rsidRPr="00052B3E">
        <w:t>for</w:t>
      </w:r>
      <w:proofErr w:type="gramEnd"/>
      <w:r w:rsidRPr="00052B3E">
        <w:t xml:space="preserve"> upgrades</w:t>
      </w:r>
      <w:r>
        <w:t xml:space="preserve"> and new investments</w:t>
      </w:r>
      <w:r w:rsidR="00706EB3">
        <w:t xml:space="preserve"> approved by the GA</w:t>
      </w:r>
      <w:r w:rsidR="00C35E97">
        <w:t>,</w:t>
      </w:r>
      <w:r>
        <w:t xml:space="preserve"> the in-kind contributions by Members will be </w:t>
      </w:r>
      <w:proofErr w:type="spellStart"/>
      <w:r>
        <w:t>apportionate</w:t>
      </w:r>
      <w:r w:rsidR="008360CF">
        <w:t>d</w:t>
      </w:r>
      <w:proofErr w:type="spellEnd"/>
      <w:r>
        <w:t xml:space="preserve"> to their contribution to the operation costs as</w:t>
      </w:r>
      <w:r w:rsidR="00706EB3">
        <w:t xml:space="preserve"> defined</w:t>
      </w:r>
      <w:r>
        <w:t xml:space="preserve"> in (6). If these contributions are above this level, </w:t>
      </w:r>
      <w:r w:rsidR="00706EB3">
        <w:t>and based on an approval by the GA</w:t>
      </w:r>
      <w:r w:rsidR="006E5EEE">
        <w:t>,</w:t>
      </w:r>
      <w:r w:rsidR="00706EB3">
        <w:t xml:space="preserve"> </w:t>
      </w:r>
      <w:r>
        <w:t>the part above this level will be deducted from the yearly contribution at a rate not hig</w:t>
      </w:r>
      <w:r w:rsidR="00C35E97">
        <w:t>her than 10%/year, upon verifi</w:t>
      </w:r>
      <w:r>
        <w:t>cation of the sustainability of the yearly budget</w:t>
      </w:r>
      <w:r w:rsidR="00C35E97">
        <w:t>, with the support of the AFC</w:t>
      </w:r>
      <w:r>
        <w:t>.</w:t>
      </w:r>
    </w:p>
    <w:p w14:paraId="2ED3D928" w14:textId="17AA43DE" w:rsidR="00052B3E" w:rsidRPr="00052B3E" w:rsidRDefault="00CD30EE" w:rsidP="00052B3E">
      <w:pPr>
        <w:pStyle w:val="Nadpis1"/>
        <w:numPr>
          <w:ilvl w:val="0"/>
          <w:numId w:val="21"/>
        </w:numPr>
      </w:pPr>
      <w:proofErr w:type="gramStart"/>
      <w:r>
        <w:t>for</w:t>
      </w:r>
      <w:proofErr w:type="gramEnd"/>
      <w:r w:rsidR="00052B3E">
        <w:t xml:space="preserve"> </w:t>
      </w:r>
      <w:r w:rsidR="00C35E97">
        <w:t>the operation costs</w:t>
      </w:r>
      <w:r w:rsidR="006E5EEE">
        <w:t>,</w:t>
      </w:r>
      <w:r w:rsidR="00C35E97">
        <w:t xml:space="preserve"> contributions allowed by the GA to Members shall effectively offset part of planned operation costs (e.g. </w:t>
      </w:r>
      <w:proofErr w:type="spellStart"/>
      <w:r w:rsidR="00C35E97">
        <w:t>personnell</w:t>
      </w:r>
      <w:proofErr w:type="spellEnd"/>
      <w:r w:rsidR="00C35E97">
        <w:t xml:space="preserve"> or </w:t>
      </w:r>
      <w:proofErr w:type="spellStart"/>
      <w:r w:rsidR="00C35E97">
        <w:t>targetry</w:t>
      </w:r>
      <w:proofErr w:type="spellEnd"/>
      <w:r w:rsidR="00C35E97">
        <w:t>, etc</w:t>
      </w:r>
      <w:r w:rsidR="00F85656">
        <w:t>.</w:t>
      </w:r>
      <w:r w:rsidR="00C35E97">
        <w:t>) and can replace cash contributions within limits defined by the GA.</w:t>
      </w:r>
    </w:p>
    <w:p w14:paraId="3622361C" w14:textId="77777777" w:rsidR="00EF033D" w:rsidRPr="0048565C" w:rsidRDefault="00EF033D" w:rsidP="003775C3">
      <w:pPr>
        <w:pStyle w:val="Nadpis1"/>
        <w:numPr>
          <w:ilvl w:val="0"/>
          <w:numId w:val="0"/>
        </w:numPr>
        <w:ind w:left="357"/>
      </w:pPr>
    </w:p>
    <w:sectPr w:rsidR="00EF033D" w:rsidRPr="0048565C" w:rsidSect="00D54F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6CE45" w14:textId="77777777" w:rsidR="00EB0D17" w:rsidRDefault="00EB0D17">
      <w:pPr>
        <w:spacing w:after="0" w:line="240" w:lineRule="auto"/>
      </w:pPr>
      <w:r>
        <w:separator/>
      </w:r>
    </w:p>
  </w:endnote>
  <w:endnote w:type="continuationSeparator" w:id="0">
    <w:p w14:paraId="0AC983A4" w14:textId="77777777" w:rsidR="00EB0D17" w:rsidRDefault="00EB0D17">
      <w:pPr>
        <w:spacing w:after="0" w:line="240" w:lineRule="auto"/>
      </w:pPr>
      <w:r>
        <w:continuationSeparator/>
      </w:r>
    </w:p>
  </w:endnote>
  <w:endnote w:type="continuationNotice" w:id="1">
    <w:p w14:paraId="7CD5DC73" w14:textId="77777777" w:rsidR="00EB0D17" w:rsidRDefault="00EB0D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44942" w14:textId="77777777" w:rsidR="005D11EC" w:rsidRDefault="005D11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CBB71" w14:textId="1E13124E" w:rsidR="00395A34" w:rsidRPr="001510C3" w:rsidRDefault="00395A34" w:rsidP="00D54FF9">
    <w:pPr>
      <w:pStyle w:val="Zpat"/>
      <w:jc w:val="center"/>
      <w:rPr>
        <w:sz w:val="20"/>
        <w:szCs w:val="20"/>
      </w:rPr>
    </w:pPr>
    <w:r w:rsidRPr="001510C3">
      <w:rPr>
        <w:sz w:val="20"/>
        <w:szCs w:val="20"/>
      </w:rPr>
      <w:t xml:space="preserve">Page </w:t>
    </w:r>
    <w:r w:rsidRPr="001510C3">
      <w:rPr>
        <w:sz w:val="20"/>
        <w:szCs w:val="20"/>
      </w:rPr>
      <w:fldChar w:fldCharType="begin"/>
    </w:r>
    <w:r w:rsidRPr="001510C3">
      <w:rPr>
        <w:sz w:val="20"/>
        <w:szCs w:val="20"/>
      </w:rPr>
      <w:instrText>PAGE   \* MERGEFORMAT</w:instrText>
    </w:r>
    <w:r w:rsidRPr="001510C3">
      <w:rPr>
        <w:sz w:val="20"/>
        <w:szCs w:val="20"/>
      </w:rPr>
      <w:fldChar w:fldCharType="separate"/>
    </w:r>
    <w:r w:rsidR="000E78C2" w:rsidRPr="000E78C2">
      <w:rPr>
        <w:noProof/>
        <w:sz w:val="20"/>
        <w:szCs w:val="20"/>
        <w:lang w:val="de-DE"/>
      </w:rPr>
      <w:t>4</w:t>
    </w:r>
    <w:r w:rsidRPr="001510C3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3E611" w14:textId="77777777" w:rsidR="005D11EC" w:rsidRDefault="005D11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2D353" w14:textId="77777777" w:rsidR="00EB0D17" w:rsidRDefault="00EB0D17">
      <w:pPr>
        <w:spacing w:after="0" w:line="240" w:lineRule="auto"/>
      </w:pPr>
      <w:r>
        <w:separator/>
      </w:r>
    </w:p>
  </w:footnote>
  <w:footnote w:type="continuationSeparator" w:id="0">
    <w:p w14:paraId="497F396E" w14:textId="77777777" w:rsidR="00EB0D17" w:rsidRDefault="00EB0D17">
      <w:pPr>
        <w:spacing w:after="0" w:line="240" w:lineRule="auto"/>
      </w:pPr>
      <w:r>
        <w:continuationSeparator/>
      </w:r>
    </w:p>
  </w:footnote>
  <w:footnote w:type="continuationNotice" w:id="1">
    <w:p w14:paraId="78AC492B" w14:textId="77777777" w:rsidR="00EB0D17" w:rsidRDefault="00EB0D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182A3" w14:textId="77777777" w:rsidR="005D11EC" w:rsidRDefault="005D11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E4F2D" w14:textId="77777777" w:rsidR="00395A34" w:rsidRPr="00AA1912" w:rsidRDefault="00395A34" w:rsidP="00D54FF9">
    <w:pPr>
      <w:spacing w:after="160" w:line="264" w:lineRule="auto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88C5C" w14:textId="77777777" w:rsidR="005D11EC" w:rsidRDefault="005D11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95EF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36A7"/>
    <w:multiLevelType w:val="multilevel"/>
    <w:tmpl w:val="C652F37E"/>
    <w:lvl w:ilvl="0">
      <w:start w:val="1"/>
      <w:numFmt w:val="decimal"/>
      <w:pStyle w:val="Nadpis1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1241F"/>
    <w:multiLevelType w:val="hybridMultilevel"/>
    <w:tmpl w:val="E9FE3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B03B4"/>
    <w:multiLevelType w:val="hybridMultilevel"/>
    <w:tmpl w:val="992CBC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E5FEC"/>
    <w:multiLevelType w:val="hybridMultilevel"/>
    <w:tmpl w:val="7284A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94E"/>
    <w:multiLevelType w:val="hybridMultilevel"/>
    <w:tmpl w:val="F6A6E0C2"/>
    <w:lvl w:ilvl="0" w:tplc="1F6A8B42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221CF"/>
    <w:multiLevelType w:val="multilevel"/>
    <w:tmpl w:val="133E95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0906AA9"/>
    <w:multiLevelType w:val="multilevel"/>
    <w:tmpl w:val="133E95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0AA1920"/>
    <w:multiLevelType w:val="hybridMultilevel"/>
    <w:tmpl w:val="41D2708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412606"/>
    <w:multiLevelType w:val="hybridMultilevel"/>
    <w:tmpl w:val="3D066F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F29F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41482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D4E663B"/>
    <w:multiLevelType w:val="hybridMultilevel"/>
    <w:tmpl w:val="0C101226"/>
    <w:lvl w:ilvl="0" w:tplc="651671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0"/>
  </w:num>
  <w:num w:numId="7">
    <w:abstractNumId w:val="1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2"/>
  </w:num>
  <w:num w:numId="19">
    <w:abstractNumId w:val="3"/>
  </w:num>
  <w:num w:numId="20">
    <w:abstractNumId w:val="8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C79"/>
    <w:rsid w:val="00001D44"/>
    <w:rsid w:val="00014410"/>
    <w:rsid w:val="00020405"/>
    <w:rsid w:val="00026F5B"/>
    <w:rsid w:val="0005141F"/>
    <w:rsid w:val="000517E5"/>
    <w:rsid w:val="00052B3E"/>
    <w:rsid w:val="000575E3"/>
    <w:rsid w:val="00061628"/>
    <w:rsid w:val="00065D5B"/>
    <w:rsid w:val="000826DA"/>
    <w:rsid w:val="00086F87"/>
    <w:rsid w:val="00097231"/>
    <w:rsid w:val="000A2682"/>
    <w:rsid w:val="000B2032"/>
    <w:rsid w:val="000B4575"/>
    <w:rsid w:val="000B582C"/>
    <w:rsid w:val="000B654D"/>
    <w:rsid w:val="000B73BE"/>
    <w:rsid w:val="000C4C24"/>
    <w:rsid w:val="000E297F"/>
    <w:rsid w:val="000E78C2"/>
    <w:rsid w:val="0010657F"/>
    <w:rsid w:val="00127F19"/>
    <w:rsid w:val="001303B6"/>
    <w:rsid w:val="00130C2E"/>
    <w:rsid w:val="00144149"/>
    <w:rsid w:val="00145EF6"/>
    <w:rsid w:val="00161772"/>
    <w:rsid w:val="001625A1"/>
    <w:rsid w:val="00167488"/>
    <w:rsid w:val="00186F5C"/>
    <w:rsid w:val="001A7399"/>
    <w:rsid w:val="001B7904"/>
    <w:rsid w:val="001D0B3D"/>
    <w:rsid w:val="001D60CD"/>
    <w:rsid w:val="001E7D4D"/>
    <w:rsid w:val="001F5A10"/>
    <w:rsid w:val="0020375D"/>
    <w:rsid w:val="00231A22"/>
    <w:rsid w:val="0025185B"/>
    <w:rsid w:val="00257E7B"/>
    <w:rsid w:val="00277E1C"/>
    <w:rsid w:val="00287040"/>
    <w:rsid w:val="00293134"/>
    <w:rsid w:val="002B13C2"/>
    <w:rsid w:val="002C2F2E"/>
    <w:rsid w:val="002D3A14"/>
    <w:rsid w:val="002E3086"/>
    <w:rsid w:val="002F1619"/>
    <w:rsid w:val="003059B9"/>
    <w:rsid w:val="00307DBC"/>
    <w:rsid w:val="00311D27"/>
    <w:rsid w:val="00322B09"/>
    <w:rsid w:val="00323652"/>
    <w:rsid w:val="003258B1"/>
    <w:rsid w:val="0032725C"/>
    <w:rsid w:val="003775C3"/>
    <w:rsid w:val="00380040"/>
    <w:rsid w:val="00381FFD"/>
    <w:rsid w:val="00382871"/>
    <w:rsid w:val="00386F11"/>
    <w:rsid w:val="003913CA"/>
    <w:rsid w:val="00392608"/>
    <w:rsid w:val="00395A34"/>
    <w:rsid w:val="003A4A0B"/>
    <w:rsid w:val="003B2BB5"/>
    <w:rsid w:val="003C4520"/>
    <w:rsid w:val="00426DE4"/>
    <w:rsid w:val="004373BF"/>
    <w:rsid w:val="00452598"/>
    <w:rsid w:val="0045699B"/>
    <w:rsid w:val="0046250C"/>
    <w:rsid w:val="00463D9E"/>
    <w:rsid w:val="0048565C"/>
    <w:rsid w:val="00497145"/>
    <w:rsid w:val="004A7949"/>
    <w:rsid w:val="004B4C79"/>
    <w:rsid w:val="004C65ED"/>
    <w:rsid w:val="004C7729"/>
    <w:rsid w:val="004E0499"/>
    <w:rsid w:val="004F29E3"/>
    <w:rsid w:val="00516F22"/>
    <w:rsid w:val="00521E54"/>
    <w:rsid w:val="00542561"/>
    <w:rsid w:val="00545449"/>
    <w:rsid w:val="005568D2"/>
    <w:rsid w:val="00560830"/>
    <w:rsid w:val="005630D2"/>
    <w:rsid w:val="0056523B"/>
    <w:rsid w:val="00581266"/>
    <w:rsid w:val="0058285D"/>
    <w:rsid w:val="00584E9F"/>
    <w:rsid w:val="00593B04"/>
    <w:rsid w:val="005B7CF8"/>
    <w:rsid w:val="005C4511"/>
    <w:rsid w:val="005C4595"/>
    <w:rsid w:val="005C5904"/>
    <w:rsid w:val="005D11B4"/>
    <w:rsid w:val="005D11EC"/>
    <w:rsid w:val="005D1A7E"/>
    <w:rsid w:val="005D2072"/>
    <w:rsid w:val="005F381B"/>
    <w:rsid w:val="005F4AE7"/>
    <w:rsid w:val="006137D8"/>
    <w:rsid w:val="006248E4"/>
    <w:rsid w:val="006357F6"/>
    <w:rsid w:val="00662B02"/>
    <w:rsid w:val="0066360D"/>
    <w:rsid w:val="00676DB1"/>
    <w:rsid w:val="00677445"/>
    <w:rsid w:val="00681CDD"/>
    <w:rsid w:val="00684195"/>
    <w:rsid w:val="0068601D"/>
    <w:rsid w:val="00686A24"/>
    <w:rsid w:val="00690067"/>
    <w:rsid w:val="0069287C"/>
    <w:rsid w:val="00693851"/>
    <w:rsid w:val="006A5477"/>
    <w:rsid w:val="006A6406"/>
    <w:rsid w:val="006B59DC"/>
    <w:rsid w:val="006E5EEE"/>
    <w:rsid w:val="00704681"/>
    <w:rsid w:val="00706EB3"/>
    <w:rsid w:val="0071175C"/>
    <w:rsid w:val="00714995"/>
    <w:rsid w:val="007477C4"/>
    <w:rsid w:val="00770AC2"/>
    <w:rsid w:val="00773325"/>
    <w:rsid w:val="00774326"/>
    <w:rsid w:val="0079450C"/>
    <w:rsid w:val="00794E2B"/>
    <w:rsid w:val="007A1E6E"/>
    <w:rsid w:val="007A22E8"/>
    <w:rsid w:val="007A323B"/>
    <w:rsid w:val="007A3A83"/>
    <w:rsid w:val="007B12B4"/>
    <w:rsid w:val="007B1986"/>
    <w:rsid w:val="007D43B5"/>
    <w:rsid w:val="007D5D7F"/>
    <w:rsid w:val="007E22C8"/>
    <w:rsid w:val="007E4D42"/>
    <w:rsid w:val="007E6F0E"/>
    <w:rsid w:val="00814410"/>
    <w:rsid w:val="0082561E"/>
    <w:rsid w:val="008265E6"/>
    <w:rsid w:val="008316DA"/>
    <w:rsid w:val="008360CF"/>
    <w:rsid w:val="008434DB"/>
    <w:rsid w:val="008611A6"/>
    <w:rsid w:val="00862108"/>
    <w:rsid w:val="0086730D"/>
    <w:rsid w:val="00867A06"/>
    <w:rsid w:val="008744C0"/>
    <w:rsid w:val="008865BD"/>
    <w:rsid w:val="008B434A"/>
    <w:rsid w:val="008B4B3E"/>
    <w:rsid w:val="008C21C0"/>
    <w:rsid w:val="008E14C6"/>
    <w:rsid w:val="008F144C"/>
    <w:rsid w:val="008F3042"/>
    <w:rsid w:val="008F4392"/>
    <w:rsid w:val="008F7B80"/>
    <w:rsid w:val="00904E88"/>
    <w:rsid w:val="00920D8C"/>
    <w:rsid w:val="00945365"/>
    <w:rsid w:val="00964B51"/>
    <w:rsid w:val="00966104"/>
    <w:rsid w:val="009713E8"/>
    <w:rsid w:val="0098185E"/>
    <w:rsid w:val="00997AFA"/>
    <w:rsid w:val="009A7C90"/>
    <w:rsid w:val="009D11B0"/>
    <w:rsid w:val="009D3F8F"/>
    <w:rsid w:val="009E1D85"/>
    <w:rsid w:val="009F31EE"/>
    <w:rsid w:val="009F4241"/>
    <w:rsid w:val="00A02374"/>
    <w:rsid w:val="00A04023"/>
    <w:rsid w:val="00A07A89"/>
    <w:rsid w:val="00A24F2E"/>
    <w:rsid w:val="00A31574"/>
    <w:rsid w:val="00A36706"/>
    <w:rsid w:val="00A434F2"/>
    <w:rsid w:val="00A47AE3"/>
    <w:rsid w:val="00A53288"/>
    <w:rsid w:val="00A66B32"/>
    <w:rsid w:val="00A673B1"/>
    <w:rsid w:val="00A85F8D"/>
    <w:rsid w:val="00A90DD5"/>
    <w:rsid w:val="00AA1912"/>
    <w:rsid w:val="00AA2D33"/>
    <w:rsid w:val="00AB138C"/>
    <w:rsid w:val="00AC4327"/>
    <w:rsid w:val="00AC5F6A"/>
    <w:rsid w:val="00AC6C92"/>
    <w:rsid w:val="00AD755F"/>
    <w:rsid w:val="00AF5019"/>
    <w:rsid w:val="00B03002"/>
    <w:rsid w:val="00B0422E"/>
    <w:rsid w:val="00B1667F"/>
    <w:rsid w:val="00B32D19"/>
    <w:rsid w:val="00B33BDF"/>
    <w:rsid w:val="00B342D6"/>
    <w:rsid w:val="00B3586F"/>
    <w:rsid w:val="00B6191D"/>
    <w:rsid w:val="00B664DC"/>
    <w:rsid w:val="00B6712A"/>
    <w:rsid w:val="00B81AC5"/>
    <w:rsid w:val="00BA286C"/>
    <w:rsid w:val="00BD7740"/>
    <w:rsid w:val="00BE1923"/>
    <w:rsid w:val="00BE1BB3"/>
    <w:rsid w:val="00BE2954"/>
    <w:rsid w:val="00BF071E"/>
    <w:rsid w:val="00C236EC"/>
    <w:rsid w:val="00C312BF"/>
    <w:rsid w:val="00C35E97"/>
    <w:rsid w:val="00C53097"/>
    <w:rsid w:val="00C7444D"/>
    <w:rsid w:val="00C755ED"/>
    <w:rsid w:val="00C92ED6"/>
    <w:rsid w:val="00C93817"/>
    <w:rsid w:val="00CA34FE"/>
    <w:rsid w:val="00CB67AE"/>
    <w:rsid w:val="00CD30EE"/>
    <w:rsid w:val="00CE409F"/>
    <w:rsid w:val="00CE4C61"/>
    <w:rsid w:val="00CE78D5"/>
    <w:rsid w:val="00CF7D5B"/>
    <w:rsid w:val="00D030CD"/>
    <w:rsid w:val="00D17627"/>
    <w:rsid w:val="00D44FF4"/>
    <w:rsid w:val="00D51E26"/>
    <w:rsid w:val="00D53F3B"/>
    <w:rsid w:val="00D54FF9"/>
    <w:rsid w:val="00D659A2"/>
    <w:rsid w:val="00D7039B"/>
    <w:rsid w:val="00D717FD"/>
    <w:rsid w:val="00D853CB"/>
    <w:rsid w:val="00D87BB1"/>
    <w:rsid w:val="00DB568B"/>
    <w:rsid w:val="00DB570F"/>
    <w:rsid w:val="00DD2902"/>
    <w:rsid w:val="00DD5C44"/>
    <w:rsid w:val="00DE2F31"/>
    <w:rsid w:val="00DE31DE"/>
    <w:rsid w:val="00DF5186"/>
    <w:rsid w:val="00E407A8"/>
    <w:rsid w:val="00E537D6"/>
    <w:rsid w:val="00E90CCF"/>
    <w:rsid w:val="00E90DE5"/>
    <w:rsid w:val="00E94AA6"/>
    <w:rsid w:val="00E9501B"/>
    <w:rsid w:val="00E96F9C"/>
    <w:rsid w:val="00EA5A9E"/>
    <w:rsid w:val="00EB0244"/>
    <w:rsid w:val="00EB0D17"/>
    <w:rsid w:val="00ED1312"/>
    <w:rsid w:val="00EE50EA"/>
    <w:rsid w:val="00EF033D"/>
    <w:rsid w:val="00F069D2"/>
    <w:rsid w:val="00F152DA"/>
    <w:rsid w:val="00F45C93"/>
    <w:rsid w:val="00F6095F"/>
    <w:rsid w:val="00F60E6E"/>
    <w:rsid w:val="00F764A7"/>
    <w:rsid w:val="00F85656"/>
    <w:rsid w:val="00FC241C"/>
    <w:rsid w:val="00FC40C5"/>
    <w:rsid w:val="00FC5289"/>
    <w:rsid w:val="00FC5B96"/>
    <w:rsid w:val="00FD4E8F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F8F5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0DD5"/>
    <w:pPr>
      <w:spacing w:after="120" w:line="360" w:lineRule="auto"/>
    </w:pPr>
    <w:rPr>
      <w:rFonts w:ascii="Calibri" w:eastAsia="Calibri" w:hAnsi="Calibri" w:cs="Times New Roman"/>
      <w:lang w:val="es-E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90DD5"/>
    <w:pPr>
      <w:numPr>
        <w:numId w:val="7"/>
      </w:numPr>
      <w:tabs>
        <w:tab w:val="left" w:pos="3686"/>
      </w:tabs>
      <w:spacing w:before="120" w:after="0"/>
      <w:jc w:val="both"/>
      <w:outlineLvl w:val="0"/>
    </w:pPr>
    <w:rPr>
      <w:rFonts w:ascii="Arial" w:hAnsi="Arial" w:cs="Arial"/>
      <w:lang w:val="en-GB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90DD5"/>
    <w:pPr>
      <w:numPr>
        <w:ilvl w:val="1"/>
        <w:numId w:val="3"/>
      </w:numPr>
      <w:tabs>
        <w:tab w:val="left" w:pos="3686"/>
      </w:tabs>
      <w:spacing w:after="0"/>
      <w:jc w:val="both"/>
      <w:outlineLvl w:val="1"/>
    </w:pPr>
    <w:rPr>
      <w:rFonts w:ascii="Arial" w:hAnsi="Arial" w:cs="Arial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4C7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4B4C7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B4C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4C79"/>
    <w:rPr>
      <w:rFonts w:ascii="Calibri" w:eastAsia="Calibri" w:hAnsi="Calibri" w:cs="Times New Roman"/>
      <w:sz w:val="20"/>
      <w:szCs w:val="20"/>
      <w:lang w:val="es-ES"/>
    </w:rPr>
  </w:style>
  <w:style w:type="paragraph" w:styleId="Zhlav">
    <w:name w:val="header"/>
    <w:basedOn w:val="Normln"/>
    <w:link w:val="ZhlavChar"/>
    <w:uiPriority w:val="99"/>
    <w:unhideWhenUsed/>
    <w:rsid w:val="004B4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4C79"/>
    <w:rPr>
      <w:rFonts w:ascii="Calibri" w:eastAsia="Calibri" w:hAnsi="Calibri" w:cs="Times New Roman"/>
      <w:lang w:val="es-ES"/>
    </w:rPr>
  </w:style>
  <w:style w:type="paragraph" w:styleId="Zpat">
    <w:name w:val="footer"/>
    <w:basedOn w:val="Normln"/>
    <w:link w:val="ZpatChar"/>
    <w:uiPriority w:val="99"/>
    <w:unhideWhenUsed/>
    <w:rsid w:val="004B4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4C79"/>
    <w:rPr>
      <w:rFonts w:ascii="Calibri" w:eastAsia="Calibri" w:hAnsi="Calibri" w:cs="Times New Roman"/>
      <w:lang w:val="es-E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4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4C79"/>
    <w:rPr>
      <w:rFonts w:ascii="Tahoma" w:eastAsia="Calibri" w:hAnsi="Tahoma" w:cs="Tahoma"/>
      <w:sz w:val="16"/>
      <w:szCs w:val="16"/>
      <w:lang w:val="es-E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14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141F"/>
    <w:rPr>
      <w:rFonts w:ascii="Calibri" w:eastAsia="Calibri" w:hAnsi="Calibri" w:cs="Times New Roman"/>
      <w:b/>
      <w:bCs/>
      <w:sz w:val="20"/>
      <w:szCs w:val="20"/>
      <w:lang w:val="es-ES"/>
    </w:rPr>
  </w:style>
  <w:style w:type="character" w:customStyle="1" w:styleId="Nadpis1Char">
    <w:name w:val="Nadpis 1 Char"/>
    <w:basedOn w:val="Standardnpsmoodstavce"/>
    <w:link w:val="Nadpis1"/>
    <w:uiPriority w:val="9"/>
    <w:rsid w:val="00A90DD5"/>
    <w:rPr>
      <w:rFonts w:ascii="Arial" w:eastAsia="Calibri" w:hAnsi="Arial" w:cs="Arial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A90DD5"/>
    <w:rPr>
      <w:rFonts w:ascii="Arial" w:eastAsia="Calibri" w:hAnsi="Arial" w:cs="Arial"/>
      <w:lang w:val="en-GB"/>
    </w:rPr>
  </w:style>
  <w:style w:type="paragraph" w:customStyle="1" w:styleId="p1">
    <w:name w:val="p1"/>
    <w:basedOn w:val="Normln"/>
    <w:rsid w:val="008F3042"/>
    <w:pPr>
      <w:spacing w:after="0" w:line="240" w:lineRule="auto"/>
    </w:pPr>
    <w:rPr>
      <w:rFonts w:ascii="Helvetica" w:eastAsiaTheme="minorHAnsi" w:hAnsi="Helvetica"/>
      <w:sz w:val="18"/>
      <w:szCs w:val="18"/>
      <w:lang w:val="en-GB" w:eastAsia="en-GB"/>
    </w:rPr>
  </w:style>
  <w:style w:type="paragraph" w:styleId="Revize">
    <w:name w:val="Revision"/>
    <w:hidden/>
    <w:uiPriority w:val="99"/>
    <w:semiHidden/>
    <w:rsid w:val="00BE1923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376870-68BB-449E-99CE-9C66B292D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6547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2017-08-02T09:41:00Z</dcterms:created>
  <dcterms:modified xsi:type="dcterms:W3CDTF">2017-08-08T06:00:00Z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